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0A58" w14:textId="77777777" w:rsidR="00944D9A" w:rsidRPr="0090251D" w:rsidRDefault="00944D9A" w:rsidP="00944D9A">
      <w:pPr>
        <w:widowControl w:val="0"/>
        <w:autoSpaceDE w:val="0"/>
        <w:autoSpaceDN w:val="0"/>
        <w:adjustRightInd w:val="0"/>
        <w:ind w:right="101"/>
        <w:jc w:val="center"/>
        <w:outlineLvl w:val="0"/>
        <w:rPr>
          <w:rFonts w:ascii="Verdana" w:hAnsi="Verdana"/>
          <w:color w:val="000000" w:themeColor="text1"/>
          <w:sz w:val="22"/>
          <w:szCs w:val="22"/>
        </w:rPr>
      </w:pPr>
      <w:bookmarkStart w:id="0" w:name="_Toc417498643"/>
      <w:bookmarkStart w:id="1" w:name="_Toc440215012"/>
      <w:bookmarkStart w:id="2" w:name="_Toc28976510"/>
      <w:r w:rsidRPr="0090251D">
        <w:rPr>
          <w:rFonts w:ascii="Verdana" w:hAnsi="Verdana"/>
          <w:color w:val="000000" w:themeColor="text1"/>
          <w:sz w:val="22"/>
          <w:szCs w:val="22"/>
        </w:rPr>
        <w:t>Rodriguez v. Instagram</w:t>
      </w:r>
      <w:bookmarkEnd w:id="0"/>
      <w:bookmarkEnd w:id="1"/>
      <w:bookmarkEnd w:id="2"/>
    </w:p>
    <w:p w14:paraId="20E2A06C" w14:textId="77777777" w:rsidR="00944D9A" w:rsidRPr="0090251D" w:rsidRDefault="00944D9A" w:rsidP="00944D9A">
      <w:pPr>
        <w:widowControl w:val="0"/>
        <w:autoSpaceDE w:val="0"/>
        <w:autoSpaceDN w:val="0"/>
        <w:adjustRightInd w:val="0"/>
        <w:jc w:val="center"/>
        <w:rPr>
          <w:rFonts w:ascii="Verdana" w:hAnsi="Verdana"/>
          <w:color w:val="000000" w:themeColor="text1"/>
          <w:sz w:val="22"/>
          <w:szCs w:val="22"/>
        </w:rPr>
      </w:pPr>
      <w:r w:rsidRPr="0090251D">
        <w:rPr>
          <w:rFonts w:ascii="Verdana" w:hAnsi="Verdana"/>
          <w:color w:val="000000" w:themeColor="text1"/>
          <w:sz w:val="22"/>
          <w:szCs w:val="22"/>
        </w:rPr>
        <w:t>2014 WL 895438 (</w:t>
      </w:r>
      <w:proofErr w:type="spellStart"/>
      <w:r w:rsidRPr="0090251D">
        <w:rPr>
          <w:rFonts w:ascii="Verdana" w:hAnsi="Verdana"/>
          <w:color w:val="000000" w:themeColor="text1"/>
          <w:sz w:val="22"/>
          <w:szCs w:val="22"/>
        </w:rPr>
        <w:t>Cal.Super</w:t>
      </w:r>
      <w:proofErr w:type="spellEnd"/>
      <w:r w:rsidRPr="0090251D">
        <w:rPr>
          <w:rFonts w:ascii="Verdana" w:hAnsi="Verdana"/>
          <w:color w:val="000000" w:themeColor="text1"/>
          <w:sz w:val="22"/>
          <w:szCs w:val="22"/>
        </w:rPr>
        <w:t xml:space="preserve">. 2014) </w:t>
      </w:r>
    </w:p>
    <w:p w14:paraId="31310988" w14:textId="77777777" w:rsidR="00944D9A" w:rsidRPr="0090251D" w:rsidRDefault="00944D9A" w:rsidP="00944D9A">
      <w:pPr>
        <w:widowControl w:val="0"/>
        <w:autoSpaceDE w:val="0"/>
        <w:autoSpaceDN w:val="0"/>
        <w:adjustRightInd w:val="0"/>
        <w:jc w:val="center"/>
        <w:rPr>
          <w:rFonts w:ascii="Verdana" w:hAnsi="Verdana"/>
          <w:color w:val="000000" w:themeColor="text1"/>
          <w:sz w:val="22"/>
          <w:szCs w:val="22"/>
        </w:rPr>
      </w:pPr>
    </w:p>
    <w:p w14:paraId="41476605" w14:textId="77777777" w:rsidR="00944D9A" w:rsidRPr="0090251D" w:rsidRDefault="00944D9A" w:rsidP="00944D9A">
      <w:pPr>
        <w:widowControl w:val="0"/>
        <w:autoSpaceDE w:val="0"/>
        <w:autoSpaceDN w:val="0"/>
        <w:adjustRightInd w:val="0"/>
        <w:jc w:val="center"/>
        <w:rPr>
          <w:rFonts w:ascii="Verdana" w:hAnsi="Verdana"/>
          <w:b/>
          <w:bCs/>
          <w:color w:val="000000" w:themeColor="text1"/>
          <w:sz w:val="22"/>
          <w:szCs w:val="22"/>
        </w:rPr>
      </w:pPr>
      <w:r w:rsidRPr="0090251D">
        <w:rPr>
          <w:rFonts w:ascii="Verdana" w:hAnsi="Verdana"/>
          <w:b/>
          <w:bCs/>
          <w:color w:val="000000" w:themeColor="text1"/>
          <w:sz w:val="22"/>
          <w:szCs w:val="22"/>
        </w:rPr>
        <w:t>Order Sustaining Demurrer without Leave to Amend</w:t>
      </w:r>
    </w:p>
    <w:p w14:paraId="6B21AFD2"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p>
    <w:p w14:paraId="0662FB9C"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Curtis E. A. Karnow, Judge.</w:t>
      </w:r>
    </w:p>
    <w:p w14:paraId="1E5B4DF1" w14:textId="77777777" w:rsidR="00944D9A" w:rsidRPr="0090251D" w:rsidRDefault="00944D9A" w:rsidP="00944D9A">
      <w:pPr>
        <w:widowControl w:val="0"/>
        <w:autoSpaceDE w:val="0"/>
        <w:autoSpaceDN w:val="0"/>
        <w:adjustRightInd w:val="0"/>
        <w:jc w:val="both"/>
        <w:rPr>
          <w:rFonts w:ascii="Verdana" w:hAnsi="Verdana"/>
          <w:color w:val="000000" w:themeColor="text1"/>
          <w:sz w:val="22"/>
          <w:szCs w:val="22"/>
        </w:rPr>
      </w:pPr>
      <w:bookmarkStart w:id="3" w:name="co_pp_sp_999_1_1"/>
      <w:bookmarkEnd w:id="3"/>
    </w:p>
    <w:p w14:paraId="2FC9C7DB"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Plaintiff Lucy Rodriguez brought this putative class action against Instagram, LLC alleging causes of action for (1) breach of contract predicated on a violation of the covenant of good faith and fair dealing; and (2) violation of </w:t>
      </w:r>
      <w:hyperlink r:id="rId4" w:history="1">
        <w:r w:rsidRPr="0090251D">
          <w:rPr>
            <w:rFonts w:ascii="Verdana" w:hAnsi="Verdana"/>
            <w:color w:val="000000" w:themeColor="text1"/>
            <w:sz w:val="22"/>
            <w:szCs w:val="22"/>
          </w:rPr>
          <w:t>California Business and Professions Code § 17200 (UCL)</w:t>
        </w:r>
      </w:hyperlink>
      <w:r w:rsidRPr="0090251D">
        <w:rPr>
          <w:rFonts w:ascii="Verdana" w:hAnsi="Verdana"/>
          <w:color w:val="000000" w:themeColor="text1"/>
          <w:sz w:val="22"/>
          <w:szCs w:val="22"/>
        </w:rPr>
        <w:t>.</w:t>
      </w:r>
    </w:p>
    <w:p w14:paraId="6B04E3F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35AA588B"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I heard argument on Instagram’s demurrer this date.</w:t>
      </w:r>
    </w:p>
    <w:p w14:paraId="63138FDB"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0082A9B7"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Background</w:t>
      </w:r>
    </w:p>
    <w:p w14:paraId="2FB58D3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Instagram is a web-based photograph sharing platform. Complaint. ¶ 1. The service is free to users. When Instagram was launched in October 2010, its use was governed by its Original Terms of Use.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2, Ex. A (Original Terms). The Original Terms governed until January 19, 2013, at which date Instagram’s New Terms of Use went into effect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1-2, 26, Ex. B (New Terms). On December 18, 2012, a month earlier, Instagram’s users were given notice of the New Terms and their effective date.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2, 28. The New Terms were modified on December 20, 2012, but the effective date was unchanged.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26.</w:t>
      </w:r>
    </w:p>
    <w:p w14:paraId="62F6AE7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2C8F5DB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The New Terms modified the original terms in three allegedly material respects: (1) in the Original Terms, Instagram disclaimed any ownership rights in content users post on Instagram, whereas in the New Terms Instagram disclaimed ownership of content users post on Instagram;</w:t>
      </w:r>
      <w:bookmarkStart w:id="4" w:name="co_tablefootnote_1_1"/>
      <w:bookmarkEnd w:id="4"/>
      <w:r w:rsidRPr="0090251D">
        <w:rPr>
          <w:rFonts w:ascii="Verdana" w:hAnsi="Verdana"/>
          <w:color w:val="000000" w:themeColor="text1"/>
          <w:sz w:val="22"/>
          <w:szCs w:val="22"/>
        </w:rPr>
        <w:t xml:space="preserve"> (2) in the Original Terms, Instagram was afforded a non-exclusive limited license to use, modify, delete from, add to, publicly perform, publicly display, reproduce, and translate content users posted on Instagram, whereas under the New Terms Instagram has a transferable and sub-licensable license to use the content users post, with the two allegedly material aspects being (1) the addition of sublicensing authority; and (2) removal of any limitations on the scope of the license and (3) the New Terms add a liability waiver.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3, 26.</w:t>
      </w:r>
    </w:p>
    <w:p w14:paraId="130AEEE1"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257AE676" w14:textId="77777777" w:rsidR="00944D9A" w:rsidRPr="0090251D" w:rsidRDefault="00944D9A" w:rsidP="00944D9A">
      <w:pPr>
        <w:widowControl w:val="0"/>
        <w:autoSpaceDE w:val="0"/>
        <w:autoSpaceDN w:val="0"/>
        <w:adjustRightInd w:val="0"/>
        <w:rPr>
          <w:rFonts w:ascii="Verdana" w:hAnsi="Verdana"/>
          <w:i/>
          <w:iCs/>
          <w:color w:val="000000" w:themeColor="text1"/>
          <w:sz w:val="22"/>
          <w:szCs w:val="22"/>
        </w:rPr>
      </w:pPr>
      <w:r w:rsidRPr="0090251D">
        <w:rPr>
          <w:rFonts w:ascii="Verdana" w:hAnsi="Verdana"/>
          <w:color w:val="000000" w:themeColor="text1"/>
          <w:sz w:val="22"/>
          <w:szCs w:val="22"/>
        </w:rPr>
        <w:t xml:space="preserve">The New Terms provide that a user accepts them by continuing to use Instagram, that is, using the service on or after January 19, 2013.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Ex. B. Under the New Terms, a user who does not agree to the terms must stop using Instagram. </w:t>
      </w:r>
      <w:r w:rsidRPr="0090251D">
        <w:rPr>
          <w:rFonts w:ascii="Verdana" w:hAnsi="Verdana"/>
          <w:i/>
          <w:iCs/>
          <w:color w:val="000000" w:themeColor="text1"/>
          <w:sz w:val="22"/>
          <w:szCs w:val="22"/>
        </w:rPr>
        <w:t>Id.</w:t>
      </w:r>
    </w:p>
    <w:p w14:paraId="76E80399"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3DDEF068" w14:textId="77777777" w:rsidR="00944D9A" w:rsidRPr="0090251D" w:rsidRDefault="00944D9A" w:rsidP="00944D9A">
      <w:pPr>
        <w:widowControl w:val="0"/>
        <w:autoSpaceDE w:val="0"/>
        <w:autoSpaceDN w:val="0"/>
        <w:adjustRightInd w:val="0"/>
        <w:rPr>
          <w:rFonts w:ascii="Verdana" w:hAnsi="Verdana"/>
          <w:i/>
          <w:iCs/>
          <w:color w:val="000000" w:themeColor="text1"/>
          <w:sz w:val="22"/>
          <w:szCs w:val="22"/>
        </w:rPr>
      </w:pPr>
      <w:r w:rsidRPr="0090251D">
        <w:rPr>
          <w:rFonts w:ascii="Verdana" w:hAnsi="Verdana"/>
          <w:color w:val="000000" w:themeColor="text1"/>
          <w:sz w:val="22"/>
          <w:szCs w:val="22"/>
        </w:rPr>
        <w:t xml:space="preserve">Even if a user does not agree to the New Terms and deletes her account, Instagram does not purge the user’s content.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7-8, 27. In its databases, Instagram does not distinguish between content that was uploaded before and after the New Terms went into effect.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8. Accordingly, Plaintiff concludes that Instagram “de facto” asserts that the New Terms apply to all content users uploaded to Instagram, specifically including content uploaded before notice of the New Terms, regardless of whether a user agrees or not to the New Terms. </w:t>
      </w:r>
      <w:r w:rsidRPr="0090251D">
        <w:rPr>
          <w:rFonts w:ascii="Verdana" w:hAnsi="Verdana"/>
          <w:i/>
          <w:iCs/>
          <w:color w:val="000000" w:themeColor="text1"/>
          <w:sz w:val="22"/>
          <w:szCs w:val="22"/>
        </w:rPr>
        <w:t>Id.</w:t>
      </w:r>
    </w:p>
    <w:p w14:paraId="2CB987F2"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64A1114C"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lastRenderedPageBreak/>
        <w:t xml:space="preserve">Plaintiff used Instagram under the Original Terms, and uploaded pictures, including pictures of herself.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2, 14. Plaintiff uses the material posted on Instagram for personal, business, and promotional purposes.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14. As plainly suggested by the Complaint and clarified at today’s hearing on demurrer, Plaintiff continued to use Instagram after the New Terms went into effect.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She was alerted to the New Terms, opted out of the arbitration provisions in the New Terms (Complaint ¶ </w:t>
      </w:r>
      <w:proofErr w:type="gramStart"/>
      <w:r w:rsidRPr="0090251D">
        <w:rPr>
          <w:rFonts w:ascii="Verdana" w:hAnsi="Verdana"/>
          <w:color w:val="000000" w:themeColor="text1"/>
          <w:sz w:val="22"/>
          <w:szCs w:val="22"/>
        </w:rPr>
        <w:t>16 )</w:t>
      </w:r>
      <w:proofErr w:type="gramEnd"/>
      <w:r w:rsidRPr="0090251D">
        <w:rPr>
          <w:rFonts w:ascii="Verdana" w:hAnsi="Verdana"/>
          <w:color w:val="000000" w:themeColor="text1"/>
          <w:sz w:val="22"/>
          <w:szCs w:val="22"/>
        </w:rPr>
        <w:t xml:space="preserve">, filed a complaint in federal court immediately after learning of the New Terms, and thereafter to </w:t>
      </w:r>
      <w:proofErr w:type="spellStart"/>
      <w:r w:rsidRPr="0090251D">
        <w:rPr>
          <w:rFonts w:ascii="Verdana" w:hAnsi="Verdana"/>
          <w:color w:val="000000" w:themeColor="text1"/>
          <w:sz w:val="22"/>
          <w:szCs w:val="22"/>
        </w:rPr>
        <w:t>continued</w:t>
      </w:r>
      <w:proofErr w:type="spellEnd"/>
      <w:r w:rsidRPr="0090251D">
        <w:rPr>
          <w:rFonts w:ascii="Verdana" w:hAnsi="Verdana"/>
          <w:color w:val="000000" w:themeColor="text1"/>
          <w:sz w:val="22"/>
          <w:szCs w:val="22"/>
        </w:rPr>
        <w:t xml:space="preserve"> to use Instagram.</w:t>
      </w:r>
    </w:p>
    <w:p w14:paraId="12218E44"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2C5B91A2"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bookmarkStart w:id="5" w:name="co_pp_sp_999_2_1"/>
      <w:bookmarkEnd w:id="5"/>
      <w:r w:rsidRPr="0090251D">
        <w:rPr>
          <w:rFonts w:ascii="Verdana" w:hAnsi="Verdana"/>
          <w:color w:val="000000" w:themeColor="text1"/>
          <w:sz w:val="22"/>
          <w:szCs w:val="22"/>
        </w:rPr>
        <w:t xml:space="preserve">Based on the language in the New Terms and a December 18, 2012 press release in which Instagram described its advertising plan, Plaintiff believes that Instagram is negotiating and/or has executed with contracts with advertisers and/or other third parties to transfer and/or sublicense Plaintiffs content for the purposes of advertising, or otherwise has imminent plans to enter into such agreements.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 30.</w:t>
      </w:r>
    </w:p>
    <w:p w14:paraId="4FEEBFE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1544E8C6"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Instagram demurs, arguing (1) it acted within the scope of its contractual authority by modifying the terms; (2) the face of the New Terms demonstrates that Plaintiff could have declined to be bound by them by deleting her Instagram account after receiving notice of the New Terms but before they went into effect; and (3) Plaintiff has not adequately alleged harm.</w:t>
      </w:r>
    </w:p>
    <w:p w14:paraId="0FA29DF8"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6C92E2BF"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Discussion</w:t>
      </w:r>
    </w:p>
    <w:p w14:paraId="5A11A74E"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The Covenant of Good Faith and Fair Dealing</w:t>
      </w:r>
    </w:p>
    <w:p w14:paraId="724C4728"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1. Background Law</w:t>
      </w:r>
    </w:p>
    <w:p w14:paraId="7352B1FA"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“Every contract imposes upon each party a duty of good faith and fair dealing in its performance and its enforcement.” </w:t>
      </w:r>
      <w:hyperlink r:id="rId5" w:anchor="co_pp_sp_4040_371" w:history="1">
        <w:r w:rsidRPr="0090251D">
          <w:rPr>
            <w:rFonts w:ascii="Verdana" w:hAnsi="Verdana"/>
            <w:i/>
            <w:iCs/>
            <w:color w:val="000000" w:themeColor="text1"/>
            <w:sz w:val="22"/>
            <w:szCs w:val="22"/>
          </w:rPr>
          <w:t>Car ma Developers (Cat), Inc</w:t>
        </w:r>
        <w:r w:rsidRPr="0090251D">
          <w:rPr>
            <w:rFonts w:ascii="Verdana" w:hAnsi="Verdana"/>
            <w:color w:val="000000" w:themeColor="text1"/>
            <w:sz w:val="22"/>
            <w:szCs w:val="22"/>
          </w:rPr>
          <w:t xml:space="preserve">. v. </w:t>
        </w:r>
        <w:r w:rsidRPr="0090251D">
          <w:rPr>
            <w:rFonts w:ascii="Verdana" w:hAnsi="Verdana"/>
            <w:i/>
            <w:iCs/>
            <w:color w:val="000000" w:themeColor="text1"/>
            <w:sz w:val="22"/>
            <w:szCs w:val="22"/>
          </w:rPr>
          <w:t>Marathon Development California, Inc.</w:t>
        </w:r>
        <w:r w:rsidRPr="0090251D">
          <w:rPr>
            <w:rFonts w:ascii="Verdana" w:hAnsi="Verdana"/>
            <w:color w:val="000000" w:themeColor="text1"/>
            <w:sz w:val="22"/>
            <w:szCs w:val="22"/>
          </w:rPr>
          <w:t>, 2 Cal.4th 342, 371 (1992)</w:t>
        </w:r>
      </w:hyperlink>
      <w:r w:rsidRPr="0090251D">
        <w:rPr>
          <w:rFonts w:ascii="Verdana" w:hAnsi="Verdana"/>
          <w:color w:val="000000" w:themeColor="text1"/>
          <w:sz w:val="22"/>
          <w:szCs w:val="22"/>
        </w:rPr>
        <w:t xml:space="preserve">. “The covenant of good faith finds particular application in situations where one party is invested with a discretionary power affecting the rights of another. Such power must be exercised in good faith.” </w:t>
      </w:r>
      <w:hyperlink r:id="rId6" w:anchor="co_pp_sp_4040_372" w:history="1">
        <w:r w:rsidRPr="0090251D">
          <w:rPr>
            <w:rFonts w:ascii="Verdana" w:hAnsi="Verdana"/>
            <w:i/>
            <w:iCs/>
            <w:color w:val="000000" w:themeColor="text1"/>
            <w:sz w:val="22"/>
            <w:szCs w:val="22"/>
          </w:rPr>
          <w:t>Carma, 2</w:t>
        </w:r>
        <w:r w:rsidRPr="0090251D">
          <w:rPr>
            <w:rFonts w:ascii="Verdana" w:hAnsi="Verdana"/>
            <w:color w:val="000000" w:themeColor="text1"/>
            <w:sz w:val="22"/>
            <w:szCs w:val="22"/>
          </w:rPr>
          <w:t xml:space="preserve"> Cal.4th at 372</w:t>
        </w:r>
      </w:hyperlink>
      <w:r w:rsidRPr="0090251D">
        <w:rPr>
          <w:rFonts w:ascii="Verdana" w:hAnsi="Verdana"/>
          <w:color w:val="000000" w:themeColor="text1"/>
          <w:sz w:val="22"/>
          <w:szCs w:val="22"/>
        </w:rPr>
        <w:t xml:space="preserve">. “[T]he </w:t>
      </w:r>
      <w:proofErr w:type="gramStart"/>
      <w:r w:rsidRPr="0090251D">
        <w:rPr>
          <w:rFonts w:ascii="Verdana" w:hAnsi="Verdana"/>
          <w:color w:val="000000" w:themeColor="text1"/>
          <w:sz w:val="22"/>
          <w:szCs w:val="22"/>
        </w:rPr>
        <w:t>scope</w:t>
      </w:r>
      <w:proofErr w:type="gramEnd"/>
      <w:r w:rsidRPr="0090251D">
        <w:rPr>
          <w:rFonts w:ascii="Verdana" w:hAnsi="Verdana"/>
          <w:color w:val="000000" w:themeColor="text1"/>
          <w:sz w:val="22"/>
          <w:szCs w:val="22"/>
        </w:rPr>
        <w:t xml:space="preserve"> of conduct prohibited by the covenant of good faith is circumscribed by the purposes and express terms of the contract.” </w:t>
      </w:r>
      <w:hyperlink r:id="rId7" w:anchor="co_pp_sp_4040_373" w:history="1">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373</w:t>
        </w:r>
      </w:hyperlink>
      <w:r w:rsidRPr="0090251D">
        <w:rPr>
          <w:rFonts w:ascii="Verdana" w:hAnsi="Verdana"/>
          <w:color w:val="000000" w:themeColor="text1"/>
          <w:sz w:val="22"/>
          <w:szCs w:val="22"/>
        </w:rPr>
        <w:t xml:space="preserve">. The covenant is read into contracts to protect the express promises of the contract.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In general, implied terms should never be read to vary express terms. </w:t>
      </w:r>
      <w:hyperlink r:id="rId8" w:anchor="co_pp_sp_4040_374" w:history="1">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374</w:t>
        </w:r>
      </w:hyperlink>
      <w:r w:rsidRPr="0090251D">
        <w:rPr>
          <w:rFonts w:ascii="Verdana" w:hAnsi="Verdana"/>
          <w:color w:val="000000" w:themeColor="text1"/>
          <w:sz w:val="22"/>
          <w:szCs w:val="22"/>
        </w:rPr>
        <w:t xml:space="preserve">. No covenant of good faith and fair dealing can be implied to forbid acts and conduct authorized by the express provisions of the contract. </w:t>
      </w: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The question of whether the implied covenant has been breached is ordinarily a question of fact unless only one inference can be drawn from the evidence. </w:t>
      </w:r>
      <w:hyperlink r:id="rId9" w:anchor="co_pp_sp_4041_509" w:history="1">
        <w:r w:rsidRPr="0090251D">
          <w:rPr>
            <w:rFonts w:ascii="Verdana" w:hAnsi="Verdana"/>
            <w:i/>
            <w:iCs/>
            <w:color w:val="000000" w:themeColor="text1"/>
            <w:sz w:val="22"/>
            <w:szCs w:val="22"/>
          </w:rPr>
          <w:t>Hicks</w:t>
        </w:r>
        <w:r w:rsidRPr="0090251D">
          <w:rPr>
            <w:rFonts w:ascii="Verdana" w:hAnsi="Verdana"/>
            <w:color w:val="000000" w:themeColor="text1"/>
            <w:sz w:val="22"/>
            <w:szCs w:val="22"/>
          </w:rPr>
          <w:t xml:space="preserve"> v. </w:t>
        </w:r>
        <w:r w:rsidRPr="0090251D">
          <w:rPr>
            <w:rFonts w:ascii="Verdana" w:hAnsi="Verdana"/>
            <w:i/>
            <w:iCs/>
            <w:color w:val="000000" w:themeColor="text1"/>
            <w:sz w:val="22"/>
            <w:szCs w:val="22"/>
          </w:rPr>
          <w:t>E.T. Legg &amp; Associates</w:t>
        </w:r>
        <w:r w:rsidRPr="0090251D">
          <w:rPr>
            <w:rFonts w:ascii="Verdana" w:hAnsi="Verdana"/>
            <w:color w:val="000000" w:themeColor="text1"/>
            <w:sz w:val="22"/>
            <w:szCs w:val="22"/>
          </w:rPr>
          <w:t xml:space="preserve">, 89 </w:t>
        </w:r>
        <w:r w:rsidRPr="0090251D">
          <w:rPr>
            <w:rFonts w:ascii="Verdana" w:hAnsi="Verdana"/>
            <w:i/>
            <w:iCs/>
            <w:color w:val="000000" w:themeColor="text1"/>
            <w:sz w:val="22"/>
            <w:szCs w:val="22"/>
          </w:rPr>
          <w:t>Cal.App.4th</w:t>
        </w:r>
        <w:r w:rsidRPr="0090251D">
          <w:rPr>
            <w:rFonts w:ascii="Verdana" w:hAnsi="Verdana"/>
            <w:color w:val="000000" w:themeColor="text1"/>
            <w:sz w:val="22"/>
            <w:szCs w:val="22"/>
          </w:rPr>
          <w:t xml:space="preserve"> 496,509(2001)</w:t>
        </w:r>
      </w:hyperlink>
      <w:r w:rsidRPr="0090251D">
        <w:rPr>
          <w:rFonts w:ascii="Verdana" w:hAnsi="Verdana"/>
          <w:color w:val="000000" w:themeColor="text1"/>
          <w:sz w:val="22"/>
          <w:szCs w:val="22"/>
        </w:rPr>
        <w:t>.</w:t>
      </w:r>
    </w:p>
    <w:p w14:paraId="4682CC1D"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22DD5DF6" w14:textId="77777777" w:rsidR="00944D9A" w:rsidRPr="0090251D" w:rsidRDefault="00944D9A" w:rsidP="00944D9A">
      <w:pPr>
        <w:widowControl w:val="0"/>
        <w:autoSpaceDE w:val="0"/>
        <w:autoSpaceDN w:val="0"/>
        <w:adjustRightInd w:val="0"/>
        <w:rPr>
          <w:rFonts w:ascii="Verdana" w:hAnsi="Verdana"/>
          <w:b/>
          <w:bCs/>
          <w:i/>
          <w:iCs/>
          <w:color w:val="000000" w:themeColor="text1"/>
          <w:sz w:val="22"/>
          <w:szCs w:val="22"/>
        </w:rPr>
      </w:pPr>
      <w:r w:rsidRPr="0090251D">
        <w:rPr>
          <w:rFonts w:ascii="Verdana" w:hAnsi="Verdana"/>
          <w:b/>
          <w:bCs/>
          <w:color w:val="000000" w:themeColor="text1"/>
          <w:sz w:val="22"/>
          <w:szCs w:val="22"/>
        </w:rPr>
        <w:t xml:space="preserve">2. </w:t>
      </w:r>
      <w:proofErr w:type="spellStart"/>
      <w:r w:rsidRPr="0090251D">
        <w:rPr>
          <w:rFonts w:ascii="Verdana" w:hAnsi="Verdana"/>
          <w:b/>
          <w:bCs/>
          <w:i/>
          <w:iCs/>
          <w:color w:val="000000" w:themeColor="text1"/>
          <w:sz w:val="22"/>
          <w:szCs w:val="22"/>
        </w:rPr>
        <w:t>Badie</w:t>
      </w:r>
      <w:proofErr w:type="spellEnd"/>
    </w:p>
    <w:p w14:paraId="216A6FA6"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Plaintiff apparently contends that Instagram breached the covenant of good faith and fair dealing applicable to the Original Terms. Complaint, ¶ 40-41 (Plaintiff is allegedly subject to Original Terms). These terms include this:</w:t>
      </w:r>
    </w:p>
    <w:p w14:paraId="0B49FF8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30DBEDA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We reserve the right to alter these Terms of Use at any time. If the alterations constitute a material change to the Terms of Use, we will notify you via internet mail according to the preference expressed on your account. What constitutes a </w:t>
      </w:r>
      <w:r w:rsidRPr="0090251D">
        <w:rPr>
          <w:rFonts w:ascii="Verdana" w:hAnsi="Verdana"/>
          <w:color w:val="000000" w:themeColor="text1"/>
          <w:sz w:val="22"/>
          <w:szCs w:val="22"/>
        </w:rPr>
        <w:lastRenderedPageBreak/>
        <w:t>‘material change’ will be determined at our sole discretion, in good faith and using common sense and reasonable judgment.</w:t>
      </w:r>
    </w:p>
    <w:p w14:paraId="0038E7D4"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2222606C"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Ex. A (General Conditions, ¶ 2).</w:t>
      </w:r>
    </w:p>
    <w:p w14:paraId="1BD9CFC0"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0E03C9AD"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The parties focus </w:t>
      </w:r>
      <w:r w:rsidRPr="0090251D">
        <w:rPr>
          <w:rFonts w:ascii="Verdana" w:hAnsi="Verdana"/>
          <w:i/>
          <w:iCs/>
          <w:color w:val="000000" w:themeColor="text1"/>
          <w:sz w:val="22"/>
          <w:szCs w:val="22"/>
        </w:rPr>
        <w:t xml:space="preserve">on </w:t>
      </w:r>
      <w:hyperlink r:id="rId10" w:history="1">
        <w:proofErr w:type="spellStart"/>
        <w:r w:rsidRPr="0090251D">
          <w:rPr>
            <w:rFonts w:ascii="Verdana" w:hAnsi="Verdana"/>
            <w:i/>
            <w:iCs/>
            <w:color w:val="000000" w:themeColor="text1"/>
            <w:sz w:val="22"/>
            <w:szCs w:val="22"/>
          </w:rPr>
          <w:t>Badie</w:t>
        </w:r>
        <w:proofErr w:type="spellEnd"/>
        <w:r w:rsidRPr="0090251D">
          <w:rPr>
            <w:rFonts w:ascii="Verdana" w:hAnsi="Verdana"/>
            <w:i/>
            <w:iCs/>
            <w:color w:val="000000" w:themeColor="text1"/>
            <w:sz w:val="22"/>
            <w:szCs w:val="22"/>
          </w:rPr>
          <w:t xml:space="preserve"> v. Bank of America</w:t>
        </w:r>
        <w:r w:rsidRPr="0090251D">
          <w:rPr>
            <w:rFonts w:ascii="Verdana" w:hAnsi="Verdana"/>
            <w:color w:val="000000" w:themeColor="text1"/>
            <w:sz w:val="22"/>
            <w:szCs w:val="22"/>
          </w:rPr>
          <w:t xml:space="preserve">, 67 </w:t>
        </w:r>
        <w:r w:rsidRPr="0090251D">
          <w:rPr>
            <w:rFonts w:ascii="Verdana" w:hAnsi="Verdana"/>
            <w:i/>
            <w:iCs/>
            <w:color w:val="000000" w:themeColor="text1"/>
            <w:sz w:val="22"/>
            <w:szCs w:val="22"/>
          </w:rPr>
          <w:t>Cal.App.4th</w:t>
        </w:r>
        <w:r w:rsidRPr="0090251D">
          <w:rPr>
            <w:rFonts w:ascii="Verdana" w:hAnsi="Verdana"/>
            <w:color w:val="000000" w:themeColor="text1"/>
            <w:sz w:val="22"/>
            <w:szCs w:val="22"/>
          </w:rPr>
          <w:t xml:space="preserve"> 779 (1998)</w:t>
        </w:r>
      </w:hyperlink>
      <w:r w:rsidRPr="0090251D">
        <w:rPr>
          <w:rFonts w:ascii="Verdana" w:hAnsi="Verdana"/>
          <w:color w:val="000000" w:themeColor="text1"/>
          <w:sz w:val="22"/>
          <w:szCs w:val="22"/>
        </w:rPr>
        <w:t xml:space="preserve">. In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the defendant Bank added an alternate dispute resolution clause to existing account agreements between itself and credit card customers through bill stuffers accompanying the monthly account statements pursuant to a change of terms provision in the original account agreements. </w:t>
      </w:r>
      <w:hyperlink r:id="rId11" w:anchor="co_pp_sp_4041_783" w:history="1">
        <w:r w:rsidRPr="0090251D">
          <w:rPr>
            <w:rFonts w:ascii="Verdana" w:hAnsi="Verdana"/>
            <w:color w:val="000000" w:themeColor="text1"/>
            <w:sz w:val="22"/>
            <w:szCs w:val="22"/>
          </w:rPr>
          <w:t xml:space="preserve">67 </w:t>
        </w:r>
        <w:r w:rsidRPr="0090251D">
          <w:rPr>
            <w:rFonts w:ascii="Verdana" w:hAnsi="Verdana"/>
            <w:i/>
            <w:iCs/>
            <w:color w:val="000000" w:themeColor="text1"/>
            <w:sz w:val="22"/>
            <w:szCs w:val="22"/>
          </w:rPr>
          <w:t>Cal.App.4th</w:t>
        </w:r>
        <w:r w:rsidRPr="0090251D">
          <w:rPr>
            <w:rFonts w:ascii="Verdana" w:hAnsi="Verdana"/>
            <w:color w:val="000000" w:themeColor="text1"/>
            <w:sz w:val="22"/>
            <w:szCs w:val="22"/>
          </w:rPr>
          <w:t xml:space="preserve"> at 783-84</w:t>
        </w:r>
      </w:hyperlink>
      <w:r w:rsidRPr="0090251D">
        <w:rPr>
          <w:rFonts w:ascii="Verdana" w:hAnsi="Verdana"/>
          <w:color w:val="000000" w:themeColor="text1"/>
          <w:sz w:val="22"/>
          <w:szCs w:val="22"/>
        </w:rPr>
        <w:t xml:space="preserve">. The Bank argued that it could modify the contract without contractual formalities so long as it did so in accordance with the change of terms provision. </w:t>
      </w:r>
      <w:hyperlink r:id="rId12" w:anchor="co_pp_sp_4041_781" w:history="1">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781</w:t>
        </w:r>
      </w:hyperlink>
      <w:r w:rsidRPr="0090251D">
        <w:rPr>
          <w:rFonts w:ascii="Verdana" w:hAnsi="Verdana"/>
          <w:color w:val="000000" w:themeColor="text1"/>
          <w:sz w:val="22"/>
          <w:szCs w:val="22"/>
        </w:rPr>
        <w:t>.</w:t>
      </w:r>
    </w:p>
    <w:p w14:paraId="425CABEB"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783C2771"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The Court rejected the argument, holding one may not exercise a unilateral right to modify a contract when it actually “attempts to recapture a foregone opportunity by adding an entirely new term which has no bearing on any subject, issue, right, or obligation addressed in the original contract and was not within the reasonably contemplation of the parties when the contract was entered into.” </w:t>
      </w:r>
      <w:hyperlink r:id="rId13" w:anchor="co_pp_sp_4041_796" w:history="1">
        <w:r w:rsidRPr="0090251D">
          <w:rPr>
            <w:rFonts w:ascii="Verdana" w:hAnsi="Verdana"/>
            <w:i/>
            <w:iCs/>
            <w:color w:val="000000" w:themeColor="text1"/>
            <w:sz w:val="22"/>
            <w:szCs w:val="22"/>
          </w:rPr>
          <w:t>Id.</w:t>
        </w:r>
        <w:r w:rsidRPr="0090251D">
          <w:rPr>
            <w:rFonts w:ascii="Verdana" w:hAnsi="Verdana"/>
            <w:color w:val="000000" w:themeColor="text1"/>
            <w:sz w:val="22"/>
            <w:szCs w:val="22"/>
          </w:rPr>
          <w:t xml:space="preserve"> at 796</w:t>
        </w:r>
      </w:hyperlink>
      <w:r w:rsidRPr="0090251D">
        <w:rPr>
          <w:rFonts w:ascii="Verdana" w:hAnsi="Verdana"/>
          <w:color w:val="000000" w:themeColor="text1"/>
          <w:sz w:val="22"/>
          <w:szCs w:val="22"/>
        </w:rPr>
        <w:t>. The Bank’s attempt to modify the contract thus breached the covenant of good faith and fair dealing.</w:t>
      </w:r>
    </w:p>
    <w:p w14:paraId="36C2086C"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4CC9E024"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bookmarkStart w:id="6" w:name="co_pp_sp_999_3_1"/>
      <w:bookmarkEnd w:id="6"/>
      <w:r w:rsidRPr="0090251D">
        <w:rPr>
          <w:rFonts w:ascii="Verdana" w:hAnsi="Verdana"/>
          <w:color w:val="000000" w:themeColor="text1"/>
          <w:sz w:val="22"/>
          <w:szCs w:val="22"/>
        </w:rPr>
        <w:t>. . .</w:t>
      </w:r>
    </w:p>
    <w:p w14:paraId="77A894CC"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19616081" w14:textId="77777777" w:rsidR="00944D9A" w:rsidRPr="0090251D" w:rsidRDefault="00944D9A" w:rsidP="00944D9A">
      <w:pPr>
        <w:widowControl w:val="0"/>
        <w:autoSpaceDE w:val="0"/>
        <w:autoSpaceDN w:val="0"/>
        <w:adjustRightInd w:val="0"/>
        <w:rPr>
          <w:rFonts w:ascii="Verdana" w:hAnsi="Verdana"/>
          <w:i/>
          <w:iCs/>
          <w:color w:val="000000" w:themeColor="text1"/>
          <w:sz w:val="22"/>
          <w:szCs w:val="22"/>
        </w:rPr>
      </w:pPr>
      <w:r w:rsidRPr="0090251D">
        <w:rPr>
          <w:rFonts w:ascii="Verdana" w:hAnsi="Verdana"/>
          <w:color w:val="000000" w:themeColor="text1"/>
          <w:sz w:val="22"/>
          <w:szCs w:val="22"/>
        </w:rPr>
        <w:t xml:space="preserve">To invoke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Plaintiff notes that Instagram imposed the New Terms pursuant to its authority under the Original Terms. But as some federal courts (applying California law) have noted,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is distinguishable where there is an opportunity to opt out before new terms go into effect.</w:t>
      </w:r>
      <w:bookmarkStart w:id="7" w:name="co_tablefootnote_2_1"/>
      <w:bookmarkEnd w:id="7"/>
      <w:r w:rsidRPr="0090251D">
        <w:rPr>
          <w:rFonts w:ascii="Verdana" w:hAnsi="Verdana"/>
          <w:color w:val="000000" w:themeColor="text1"/>
          <w:sz w:val="22"/>
          <w:szCs w:val="22"/>
        </w:rPr>
        <w:fldChar w:fldCharType="begin"/>
      </w:r>
      <w:r w:rsidRPr="0090251D">
        <w:rPr>
          <w:rFonts w:ascii="Verdana" w:hAnsi="Verdana"/>
          <w:color w:val="000000" w:themeColor="text1"/>
          <w:sz w:val="22"/>
          <w:szCs w:val="22"/>
        </w:rPr>
        <w:instrText xml:space="preserve">HYPERLINK "#co_tablefootnoteblock_2_1" </w:instrText>
      </w:r>
      <w:r w:rsidRPr="0090251D">
        <w:rPr>
          <w:rFonts w:ascii="Verdana" w:hAnsi="Verdana"/>
          <w:color w:val="000000" w:themeColor="text1"/>
          <w:sz w:val="22"/>
          <w:szCs w:val="22"/>
        </w:rPr>
        <w:fldChar w:fldCharType="separate"/>
      </w:r>
      <w:r w:rsidRPr="0090251D">
        <w:rPr>
          <w:rFonts w:ascii="Verdana" w:hAnsi="Verdana"/>
          <w:color w:val="000000" w:themeColor="text1"/>
          <w:sz w:val="22"/>
          <w:szCs w:val="22"/>
          <w:vertAlign w:val="superscript"/>
        </w:rPr>
        <w:t>2</w:t>
      </w:r>
      <w:r w:rsidRPr="0090251D">
        <w:rPr>
          <w:rFonts w:ascii="Verdana" w:hAnsi="Verdana"/>
          <w:color w:val="000000" w:themeColor="text1"/>
          <w:sz w:val="22"/>
          <w:szCs w:val="22"/>
        </w:rPr>
        <w:fldChar w:fldCharType="end"/>
      </w:r>
      <w:r w:rsidRPr="0090251D">
        <w:rPr>
          <w:rFonts w:ascii="Verdana" w:hAnsi="Verdana"/>
          <w:color w:val="000000" w:themeColor="text1"/>
          <w:sz w:val="22"/>
          <w:szCs w:val="22"/>
        </w:rPr>
        <w:t xml:space="preserve"> In this case, the New Terms expressly provide that use of Instagram after the effective date, January 19, 2013, constitutes acceptance of the New Terms. Complaint, Ex. B. The New Terms explain: “If you do not agree to be bound by all of these Terms of Use, do not access or use the Service.” </w:t>
      </w:r>
      <w:r w:rsidRPr="0090251D">
        <w:rPr>
          <w:rFonts w:ascii="Verdana" w:hAnsi="Verdana"/>
          <w:i/>
          <w:iCs/>
          <w:color w:val="000000" w:themeColor="text1"/>
          <w:sz w:val="22"/>
          <w:szCs w:val="22"/>
        </w:rPr>
        <w:t>Id.</w:t>
      </w:r>
    </w:p>
    <w:p w14:paraId="47BFFB39"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944D9A" w:rsidRPr="0090251D" w14:paraId="7F71CE0B" w14:textId="77777777" w:rsidTr="00156334">
        <w:tc>
          <w:tcPr>
            <w:tcW w:w="600" w:type="dxa"/>
            <w:tcBorders>
              <w:top w:val="nil"/>
              <w:left w:val="nil"/>
              <w:bottom w:val="nil"/>
              <w:right w:val="nil"/>
            </w:tcBorders>
          </w:tcPr>
          <w:p w14:paraId="2B1582B0" w14:textId="77777777" w:rsidR="00944D9A" w:rsidRPr="0090251D" w:rsidRDefault="00944D9A" w:rsidP="00156334">
            <w:pPr>
              <w:widowControl w:val="0"/>
              <w:autoSpaceDE w:val="0"/>
              <w:autoSpaceDN w:val="0"/>
              <w:adjustRightInd w:val="0"/>
              <w:rPr>
                <w:rFonts w:ascii="Verdana" w:hAnsi="Verdana"/>
                <w:color w:val="000000" w:themeColor="text1"/>
                <w:sz w:val="22"/>
                <w:szCs w:val="22"/>
              </w:rPr>
            </w:pPr>
            <w:hyperlink w:anchor="co_tablefootnote_2_1" w:history="1">
              <w:r w:rsidRPr="0090251D">
                <w:rPr>
                  <w:rFonts w:ascii="Verdana" w:hAnsi="Verdana"/>
                  <w:color w:val="000000" w:themeColor="text1"/>
                  <w:sz w:val="22"/>
                  <w:szCs w:val="22"/>
                  <w:vertAlign w:val="superscript"/>
                </w:rPr>
                <w:t>2</w:t>
              </w:r>
            </w:hyperlink>
          </w:p>
          <w:p w14:paraId="734370A0" w14:textId="77777777" w:rsidR="00944D9A" w:rsidRPr="0090251D" w:rsidRDefault="00944D9A" w:rsidP="00156334">
            <w:pPr>
              <w:widowControl w:val="0"/>
              <w:autoSpaceDE w:val="0"/>
              <w:autoSpaceDN w:val="0"/>
              <w:adjustRightInd w:val="0"/>
              <w:rPr>
                <w:rFonts w:ascii="Verdana" w:hAnsi="Verdana"/>
                <w:color w:val="000000" w:themeColor="text1"/>
                <w:sz w:val="22"/>
                <w:szCs w:val="22"/>
              </w:rPr>
            </w:pPr>
          </w:p>
        </w:tc>
        <w:tc>
          <w:tcPr>
            <w:tcW w:w="9480" w:type="dxa"/>
            <w:tcBorders>
              <w:top w:val="nil"/>
              <w:left w:val="nil"/>
              <w:bottom w:val="nil"/>
              <w:right w:val="nil"/>
            </w:tcBorders>
            <w:tcMar>
              <w:top w:w="90" w:type="dxa"/>
              <w:bottom w:w="90" w:type="dxa"/>
            </w:tcMar>
          </w:tcPr>
          <w:p w14:paraId="7D44B065" w14:textId="77777777" w:rsidR="00944D9A" w:rsidRPr="0090251D" w:rsidRDefault="00944D9A" w:rsidP="00156334">
            <w:pPr>
              <w:widowControl w:val="0"/>
              <w:autoSpaceDE w:val="0"/>
              <w:autoSpaceDN w:val="0"/>
              <w:adjustRightInd w:val="0"/>
              <w:rPr>
                <w:rFonts w:ascii="Verdana" w:hAnsi="Verdana"/>
                <w:color w:val="000000" w:themeColor="text1"/>
                <w:sz w:val="22"/>
                <w:szCs w:val="22"/>
              </w:rPr>
            </w:pPr>
            <w:hyperlink r:id="rId14" w:anchor="co_pp_sp_4637_1176" w:history="1">
              <w:proofErr w:type="spellStart"/>
              <w:r w:rsidRPr="0090251D">
                <w:rPr>
                  <w:rFonts w:ascii="Verdana" w:hAnsi="Verdana"/>
                  <w:i/>
                  <w:iCs/>
                  <w:color w:val="000000" w:themeColor="text1"/>
                  <w:sz w:val="22"/>
                  <w:szCs w:val="22"/>
                </w:rPr>
                <w:t>Ackerberg</w:t>
              </w:r>
              <w:proofErr w:type="spellEnd"/>
              <w:r w:rsidRPr="0090251D">
                <w:rPr>
                  <w:rFonts w:ascii="Verdana" w:hAnsi="Verdana"/>
                  <w:i/>
                  <w:iCs/>
                  <w:color w:val="000000" w:themeColor="text1"/>
                  <w:sz w:val="22"/>
                  <w:szCs w:val="22"/>
                </w:rPr>
                <w:t xml:space="preserve"> v Citicorp USA, Inc.</w:t>
              </w:r>
              <w:r w:rsidRPr="0090251D">
                <w:rPr>
                  <w:rFonts w:ascii="Verdana" w:hAnsi="Verdana"/>
                  <w:color w:val="000000" w:themeColor="text1"/>
                  <w:sz w:val="22"/>
                  <w:szCs w:val="22"/>
                </w:rPr>
                <w:t>, 898 F.Supp.2d 1172, 1176 (N.D. Cal. 2012)</w:t>
              </w:r>
            </w:hyperlink>
            <w:r w:rsidRPr="0090251D">
              <w:rPr>
                <w:rFonts w:ascii="Verdana" w:hAnsi="Verdana"/>
                <w:color w:val="000000" w:themeColor="text1"/>
                <w:sz w:val="22"/>
                <w:szCs w:val="22"/>
              </w:rPr>
              <w:t xml:space="preserve"> (</w:t>
            </w:r>
            <w:proofErr w:type="spellStart"/>
            <w:r w:rsidRPr="0090251D">
              <w:rPr>
                <w:rFonts w:ascii="Verdana" w:hAnsi="Verdana"/>
                <w:color w:val="000000" w:themeColor="text1"/>
                <w:sz w:val="22"/>
                <w:szCs w:val="22"/>
              </w:rPr>
              <w:t>Illston</w:t>
            </w:r>
            <w:proofErr w:type="spellEnd"/>
            <w:r w:rsidRPr="0090251D">
              <w:rPr>
                <w:rFonts w:ascii="Verdana" w:hAnsi="Verdana"/>
                <w:color w:val="000000" w:themeColor="text1"/>
                <w:sz w:val="22"/>
                <w:szCs w:val="22"/>
              </w:rPr>
              <w:t xml:space="preserve">, J.) (plaintiff was given an opportunity to walk away from her credit card agreement when it was modified to include an arbitration clause in 2003 but continued to use the card until 2011, evidencing her acceptance of the terms; distinguishing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because in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there was no realistic opportunity to exit the account); </w:t>
            </w:r>
            <w:hyperlink r:id="rId15" w:anchor="co_pp_sp_4637_1199" w:history="1">
              <w:proofErr w:type="spellStart"/>
              <w:r w:rsidRPr="0090251D">
                <w:rPr>
                  <w:rFonts w:ascii="Verdana" w:hAnsi="Verdana"/>
                  <w:i/>
                  <w:iCs/>
                  <w:color w:val="000000" w:themeColor="text1"/>
                  <w:sz w:val="22"/>
                  <w:szCs w:val="22"/>
                </w:rPr>
                <w:t>Cayanan</w:t>
              </w:r>
              <w:proofErr w:type="spellEnd"/>
              <w:r w:rsidRPr="0090251D">
                <w:rPr>
                  <w:rFonts w:ascii="Verdana" w:hAnsi="Verdana"/>
                  <w:color w:val="000000" w:themeColor="text1"/>
                  <w:sz w:val="22"/>
                  <w:szCs w:val="22"/>
                </w:rPr>
                <w:t xml:space="preserve"> v. </w:t>
              </w:r>
              <w:r w:rsidRPr="0090251D">
                <w:rPr>
                  <w:rFonts w:ascii="Verdana" w:hAnsi="Verdana"/>
                  <w:i/>
                  <w:iCs/>
                  <w:color w:val="000000" w:themeColor="text1"/>
                  <w:sz w:val="22"/>
                  <w:szCs w:val="22"/>
                </w:rPr>
                <w:t>Citi Holdings, Inc.</w:t>
              </w:r>
              <w:r w:rsidRPr="0090251D">
                <w:rPr>
                  <w:rFonts w:ascii="Verdana" w:hAnsi="Verdana"/>
                  <w:color w:val="000000" w:themeColor="text1"/>
                  <w:sz w:val="22"/>
                  <w:szCs w:val="22"/>
                </w:rPr>
                <w:t>, 928 F.Supp.2d 1182, 1199-1200 (S.D. Cal. 2013)</w:t>
              </w:r>
            </w:hyperlink>
            <w:r w:rsidRPr="0090251D">
              <w:rPr>
                <w:rFonts w:ascii="Verdana" w:hAnsi="Verdana"/>
                <w:color w:val="000000" w:themeColor="text1"/>
                <w:sz w:val="22"/>
                <w:szCs w:val="22"/>
              </w:rPr>
              <w:t xml:space="preserve"> (reasoning that bill stuffer notices are not inherently invalid method of obtaining assent to changes in credit card contracts and finding that the credit card user had assented to an arbitration agreement contained in a bill stuffer where the bill stuffer notified the user that the agreement was binding unless the user closed his account within 30 days and refrained from using and authorizing the card and the user continued to use the card; following </w:t>
            </w:r>
            <w:proofErr w:type="spellStart"/>
            <w:r w:rsidRPr="0090251D">
              <w:rPr>
                <w:rFonts w:ascii="Verdana" w:hAnsi="Verdana"/>
                <w:i/>
                <w:iCs/>
                <w:color w:val="000000" w:themeColor="text1"/>
                <w:sz w:val="22"/>
                <w:szCs w:val="22"/>
              </w:rPr>
              <w:t>Ackerberg</w:t>
            </w:r>
            <w:proofErr w:type="spellEnd"/>
            <w:r w:rsidRPr="0090251D">
              <w:rPr>
                <w:rFonts w:ascii="Verdana" w:hAnsi="Verdana"/>
                <w:color w:val="000000" w:themeColor="text1"/>
                <w:sz w:val="22"/>
                <w:szCs w:val="22"/>
              </w:rPr>
              <w:t xml:space="preserve"> in distinguishing </w:t>
            </w:r>
            <w:proofErr w:type="spellStart"/>
            <w:r w:rsidRPr="0090251D">
              <w:rPr>
                <w:rFonts w:ascii="Verdana" w:hAnsi="Verdana"/>
                <w:i/>
                <w:iCs/>
                <w:color w:val="000000" w:themeColor="text1"/>
                <w:sz w:val="22"/>
                <w:szCs w:val="22"/>
              </w:rPr>
              <w:t>Badie</w:t>
            </w:r>
            <w:proofErr w:type="spellEnd"/>
            <w:r w:rsidRPr="0090251D">
              <w:rPr>
                <w:rFonts w:ascii="Verdana" w:hAnsi="Verdana"/>
                <w:i/>
                <w:iCs/>
                <w:color w:val="000000" w:themeColor="text1"/>
                <w:sz w:val="22"/>
                <w:szCs w:val="22"/>
              </w:rPr>
              <w:t>)</w:t>
            </w:r>
            <w:r w:rsidRPr="0090251D">
              <w:rPr>
                <w:rFonts w:ascii="Verdana" w:hAnsi="Verdana"/>
                <w:color w:val="000000" w:themeColor="text1"/>
                <w:sz w:val="22"/>
                <w:szCs w:val="22"/>
              </w:rPr>
              <w:t>.</w:t>
            </w:r>
          </w:p>
          <w:p w14:paraId="4F2FFFB6" w14:textId="77777777" w:rsidR="00944D9A" w:rsidRPr="0090251D" w:rsidRDefault="00944D9A" w:rsidP="00156334">
            <w:pPr>
              <w:widowControl w:val="0"/>
              <w:autoSpaceDE w:val="0"/>
              <w:autoSpaceDN w:val="0"/>
              <w:adjustRightInd w:val="0"/>
              <w:rPr>
                <w:rFonts w:ascii="Verdana" w:hAnsi="Verdana"/>
                <w:color w:val="000000" w:themeColor="text1"/>
                <w:sz w:val="22"/>
                <w:szCs w:val="22"/>
              </w:rPr>
            </w:pPr>
          </w:p>
        </w:tc>
      </w:tr>
    </w:tbl>
    <w:p w14:paraId="4BFA6F89"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p>
    <w:p w14:paraId="6195B834"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is distinguishable here too. As the Complaint and argument today made clear, </w:t>
      </w:r>
      <w:r w:rsidRPr="0090251D">
        <w:rPr>
          <w:rFonts w:ascii="Verdana" w:hAnsi="Verdana"/>
          <w:color w:val="000000" w:themeColor="text1"/>
          <w:sz w:val="22"/>
          <w:szCs w:val="22"/>
        </w:rPr>
        <w:lastRenderedPageBreak/>
        <w:t xml:space="preserve">Plaintiff had a full and perfectly reasonable opportunity to read, and did read, the New Terms; she could have declined the revised agreement. She could have, under the plain language of the New Terms, avoided the New Terms if she stopped using the service, but she continued to use it: Plaintiff alleged that she used Instagram at all relevant times, including after the New Terms went into effect. Complaint, ¶ 14. </w:t>
      </w:r>
      <w:proofErr w:type="gramStart"/>
      <w:r w:rsidRPr="0090251D">
        <w:rPr>
          <w:rFonts w:ascii="Verdana" w:hAnsi="Verdana"/>
          <w:color w:val="000000" w:themeColor="text1"/>
          <w:sz w:val="22"/>
          <w:szCs w:val="22"/>
        </w:rPr>
        <w:t>Thus</w:t>
      </w:r>
      <w:proofErr w:type="gramEnd"/>
      <w:r w:rsidRPr="0090251D">
        <w:rPr>
          <w:rFonts w:ascii="Verdana" w:hAnsi="Verdana"/>
          <w:color w:val="000000" w:themeColor="text1"/>
          <w:sz w:val="22"/>
          <w:szCs w:val="22"/>
        </w:rPr>
        <w:t xml:space="preserve"> Plaintiff must have consented to the New Terms. </w:t>
      </w:r>
      <w:proofErr w:type="gramStart"/>
      <w:r w:rsidRPr="0090251D">
        <w:rPr>
          <w:rFonts w:ascii="Verdana" w:hAnsi="Verdana"/>
          <w:color w:val="000000" w:themeColor="text1"/>
          <w:sz w:val="22"/>
          <w:szCs w:val="22"/>
        </w:rPr>
        <w:t>Thus</w:t>
      </w:r>
      <w:proofErr w:type="gramEnd"/>
      <w:r w:rsidRPr="0090251D">
        <w:rPr>
          <w:rFonts w:ascii="Verdana" w:hAnsi="Verdana"/>
          <w:color w:val="000000" w:themeColor="text1"/>
          <w:sz w:val="22"/>
          <w:szCs w:val="22"/>
        </w:rPr>
        <w:t xml:space="preserve"> there is no </w:t>
      </w:r>
      <w:proofErr w:type="spellStart"/>
      <w:r w:rsidRPr="0090251D">
        <w:rPr>
          <w:rFonts w:ascii="Verdana" w:hAnsi="Verdana"/>
          <w:i/>
          <w:iCs/>
          <w:color w:val="000000" w:themeColor="text1"/>
          <w:sz w:val="22"/>
          <w:szCs w:val="22"/>
        </w:rPr>
        <w:t>Badie</w:t>
      </w:r>
      <w:proofErr w:type="spellEnd"/>
      <w:r w:rsidRPr="0090251D">
        <w:rPr>
          <w:rFonts w:ascii="Verdana" w:hAnsi="Verdana"/>
          <w:color w:val="000000" w:themeColor="text1"/>
          <w:sz w:val="22"/>
          <w:szCs w:val="22"/>
        </w:rPr>
        <w:t xml:space="preserve"> issue, because the allegation in the Complaint demonstrate that Plaintiff entered into a new agreement.</w:t>
      </w:r>
    </w:p>
    <w:p w14:paraId="47C8902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744E621B"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At argument, Plaintiff’s counsel both agreed that Plaintiff agreed to the New Terms, and that by filing the federal complaint, she had not. No other basis was provided on which one might conclude that Plaintiff had not agreed to the New Terms. But there is also no basis to conclude that the filing of a complaint is sufficient to reject the New Terms—most especially after Plaintiff continues to use and presumably benefit from the Instagram site.</w:t>
      </w:r>
    </w:p>
    <w:p w14:paraId="7E16AC60"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46DFE7C5"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It does not help to say, as Plaintiff does, that Instagram treats content uploaded under the Original Terms as if it were uploaded under the New Terms anyway. Complaint, ¶¶ 7-8, 42; Opposition, 9. Perhaps Instagram </w:t>
      </w:r>
      <w:r w:rsidRPr="0090251D">
        <w:rPr>
          <w:rFonts w:ascii="Verdana" w:hAnsi="Verdana"/>
          <w:i/>
          <w:iCs/>
          <w:color w:val="000000" w:themeColor="text1"/>
          <w:sz w:val="22"/>
          <w:szCs w:val="22"/>
        </w:rPr>
        <w:t>might</w:t>
      </w:r>
      <w:r w:rsidRPr="0090251D">
        <w:rPr>
          <w:rFonts w:ascii="Verdana" w:hAnsi="Verdana"/>
          <w:color w:val="000000" w:themeColor="text1"/>
          <w:sz w:val="22"/>
          <w:szCs w:val="22"/>
        </w:rPr>
        <w:t xml:space="preserve"> breach the Original Terms (e.g. if </w:t>
      </w:r>
      <w:proofErr w:type="gramStart"/>
      <w:r w:rsidRPr="0090251D">
        <w:rPr>
          <w:rFonts w:ascii="Verdana" w:hAnsi="Verdana"/>
          <w:color w:val="000000" w:themeColor="text1"/>
          <w:sz w:val="22"/>
          <w:szCs w:val="22"/>
        </w:rPr>
        <w:t>it</w:t>
      </w:r>
      <w:proofErr w:type="gramEnd"/>
      <w:r w:rsidRPr="0090251D">
        <w:rPr>
          <w:rFonts w:ascii="Verdana" w:hAnsi="Verdana"/>
          <w:color w:val="000000" w:themeColor="text1"/>
          <w:sz w:val="22"/>
          <w:szCs w:val="22"/>
        </w:rPr>
        <w:t xml:space="preserve"> sub-licenses content of users who never agreed to the New Terms). But Plaintiff does not allege </w:t>
      </w:r>
      <w:r w:rsidRPr="0090251D">
        <w:rPr>
          <w:rFonts w:ascii="Verdana" w:hAnsi="Verdana"/>
          <w:i/>
          <w:iCs/>
          <w:color w:val="000000" w:themeColor="text1"/>
          <w:sz w:val="22"/>
          <w:szCs w:val="22"/>
        </w:rPr>
        <w:t>that</w:t>
      </w:r>
      <w:r w:rsidRPr="0090251D">
        <w:rPr>
          <w:rFonts w:ascii="Verdana" w:hAnsi="Verdana"/>
          <w:color w:val="000000" w:themeColor="text1"/>
          <w:sz w:val="22"/>
          <w:szCs w:val="22"/>
        </w:rPr>
        <w:t xml:space="preserve"> breach of the Original Terms. The question here is whether Instagram breached the Original Terms </w:t>
      </w:r>
      <w:r w:rsidRPr="0090251D">
        <w:rPr>
          <w:rFonts w:ascii="Verdana" w:hAnsi="Verdana"/>
          <w:i/>
          <w:iCs/>
          <w:color w:val="000000" w:themeColor="text1"/>
          <w:sz w:val="22"/>
          <w:szCs w:val="22"/>
        </w:rPr>
        <w:t>by imposing the New Terms. See</w:t>
      </w:r>
      <w:r w:rsidRPr="0090251D">
        <w:rPr>
          <w:rFonts w:ascii="Verdana" w:hAnsi="Verdana"/>
          <w:color w:val="000000" w:themeColor="text1"/>
          <w:sz w:val="22"/>
          <w:szCs w:val="22"/>
        </w:rPr>
        <w:t xml:space="preserve"> Complaint, ¶¶ 40-43.</w:t>
      </w:r>
    </w:p>
    <w:p w14:paraId="16CB450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0F2352C5"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bookmarkStart w:id="8" w:name="co_pp_sp_999_4_1"/>
      <w:bookmarkEnd w:id="8"/>
      <w:r w:rsidRPr="0090251D">
        <w:rPr>
          <w:rFonts w:ascii="Verdana" w:hAnsi="Verdana"/>
          <w:color w:val="000000" w:themeColor="text1"/>
          <w:sz w:val="22"/>
          <w:szCs w:val="22"/>
        </w:rPr>
        <w:t>True, Plaintiff does suggest that because the formerly uploaded content “persists” on Instagram’s systems (or is not “purged,” Complaint ¶ 27), the content of necessity will be exploited pursuant to the New Terms. But as Plaintiff’s counsel agreed at today’s hearing, such ‘persistence’ is both consistent with treatment under the Old Terms (which do not promise not to keep the content) and of course is consistent with the New Terms, to which Plaintiff agreed. Allegations of such persistence do not support an allegation of breach of any terms.</w:t>
      </w:r>
    </w:p>
    <w:p w14:paraId="592AF86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60886108"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3. Harm</w:t>
      </w:r>
    </w:p>
    <w:p w14:paraId="6AFF5309"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Instagram contends that Plaintiffs breach of the implied covenant theory is also barred because she has not alleged harm arising out of the breach. Plaintiff argues that she has alleged diminished property rights, and that in any event actual damages are not necessary to state a claim for breach of contract. Opposition, 7-8.</w:t>
      </w:r>
    </w:p>
    <w:p w14:paraId="60216605"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7C53C16D"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Damages are an essential element for a breach of contract claim. </w:t>
      </w:r>
      <w:r w:rsidRPr="0090251D">
        <w:rPr>
          <w:rFonts w:ascii="Verdana" w:hAnsi="Verdana"/>
          <w:i/>
          <w:iCs/>
          <w:color w:val="000000" w:themeColor="text1"/>
          <w:sz w:val="22"/>
          <w:szCs w:val="22"/>
        </w:rPr>
        <w:t xml:space="preserve">See </w:t>
      </w:r>
      <w:hyperlink r:id="rId16" w:anchor="co_pp_sp_4041_1352" w:history="1">
        <w:proofErr w:type="spellStart"/>
        <w:r w:rsidRPr="0090251D">
          <w:rPr>
            <w:rFonts w:ascii="Verdana" w:hAnsi="Verdana"/>
            <w:i/>
            <w:iCs/>
            <w:color w:val="000000" w:themeColor="text1"/>
            <w:sz w:val="22"/>
            <w:szCs w:val="22"/>
          </w:rPr>
          <w:t>Troyk</w:t>
        </w:r>
        <w:proofErr w:type="spellEnd"/>
        <w:r w:rsidRPr="0090251D">
          <w:rPr>
            <w:rFonts w:ascii="Verdana" w:hAnsi="Verdana"/>
            <w:i/>
            <w:iCs/>
            <w:color w:val="000000" w:themeColor="text1"/>
            <w:sz w:val="22"/>
            <w:szCs w:val="22"/>
          </w:rPr>
          <w:t xml:space="preserve"> v. Farmers Group, Inc.</w:t>
        </w:r>
        <w:r w:rsidRPr="0090251D">
          <w:rPr>
            <w:rFonts w:ascii="Verdana" w:hAnsi="Verdana"/>
            <w:color w:val="000000" w:themeColor="text1"/>
            <w:sz w:val="22"/>
            <w:szCs w:val="22"/>
          </w:rPr>
          <w:t xml:space="preserve">, 171 </w:t>
        </w:r>
        <w:r w:rsidRPr="0090251D">
          <w:rPr>
            <w:rFonts w:ascii="Verdana" w:hAnsi="Verdana"/>
            <w:i/>
            <w:iCs/>
            <w:color w:val="000000" w:themeColor="text1"/>
            <w:sz w:val="22"/>
            <w:szCs w:val="22"/>
          </w:rPr>
          <w:t>Cal.App.4th</w:t>
        </w:r>
        <w:r w:rsidRPr="0090251D">
          <w:rPr>
            <w:rFonts w:ascii="Verdana" w:hAnsi="Verdana"/>
            <w:color w:val="000000" w:themeColor="text1"/>
            <w:sz w:val="22"/>
            <w:szCs w:val="22"/>
          </w:rPr>
          <w:t xml:space="preserve"> 1305, 1352 (2009)</w:t>
        </w:r>
      </w:hyperlink>
      <w:r w:rsidRPr="0090251D">
        <w:rPr>
          <w:rFonts w:ascii="Verdana" w:hAnsi="Verdana"/>
          <w:color w:val="000000" w:themeColor="text1"/>
          <w:sz w:val="22"/>
          <w:szCs w:val="22"/>
        </w:rPr>
        <w:t xml:space="preserve">; </w:t>
      </w:r>
      <w:hyperlink r:id="rId17" w:anchor="co_pp_sp_226_913" w:history="1">
        <w:r w:rsidRPr="0090251D">
          <w:rPr>
            <w:rFonts w:ascii="Verdana" w:hAnsi="Verdana"/>
            <w:i/>
            <w:iCs/>
            <w:color w:val="000000" w:themeColor="text1"/>
            <w:sz w:val="22"/>
            <w:szCs w:val="22"/>
          </w:rPr>
          <w:t xml:space="preserve">Acoustics Inc. v. </w:t>
        </w:r>
        <w:proofErr w:type="spellStart"/>
        <w:r w:rsidRPr="0090251D">
          <w:rPr>
            <w:rFonts w:ascii="Verdana" w:hAnsi="Verdana"/>
            <w:i/>
            <w:iCs/>
            <w:color w:val="000000" w:themeColor="text1"/>
            <w:sz w:val="22"/>
            <w:szCs w:val="22"/>
          </w:rPr>
          <w:t>Trepte</w:t>
        </w:r>
        <w:proofErr w:type="spellEnd"/>
        <w:r w:rsidRPr="0090251D">
          <w:rPr>
            <w:rFonts w:ascii="Verdana" w:hAnsi="Verdana"/>
            <w:i/>
            <w:iCs/>
            <w:color w:val="000000" w:themeColor="text1"/>
            <w:sz w:val="22"/>
            <w:szCs w:val="22"/>
          </w:rPr>
          <w:t xml:space="preserve"> Construction Co.</w:t>
        </w:r>
        <w:r w:rsidRPr="0090251D">
          <w:rPr>
            <w:rFonts w:ascii="Verdana" w:hAnsi="Verdana"/>
            <w:color w:val="000000" w:themeColor="text1"/>
            <w:sz w:val="22"/>
            <w:szCs w:val="22"/>
          </w:rPr>
          <w:t>, 14 Cal.App.3d 887, 913 (1971)</w:t>
        </w:r>
      </w:hyperlink>
      <w:r w:rsidRPr="0090251D">
        <w:rPr>
          <w:rFonts w:ascii="Verdana" w:hAnsi="Verdana"/>
          <w:color w:val="000000" w:themeColor="text1"/>
          <w:sz w:val="22"/>
          <w:szCs w:val="22"/>
        </w:rPr>
        <w:t xml:space="preserve">; </w:t>
      </w:r>
      <w:hyperlink r:id="rId18" w:history="1">
        <w:r w:rsidRPr="0090251D">
          <w:rPr>
            <w:rFonts w:ascii="Verdana" w:hAnsi="Verdana"/>
            <w:color w:val="000000" w:themeColor="text1"/>
            <w:sz w:val="22"/>
            <w:szCs w:val="22"/>
          </w:rPr>
          <w:t>CACI No. 303</w:t>
        </w:r>
      </w:hyperlink>
      <w:r w:rsidRPr="0090251D">
        <w:rPr>
          <w:rFonts w:ascii="Verdana" w:hAnsi="Verdana"/>
          <w:color w:val="000000" w:themeColor="text1"/>
          <w:sz w:val="22"/>
          <w:szCs w:val="22"/>
        </w:rPr>
        <w:t xml:space="preserve"> (2013). A breach of the implied covenant is necessarily a breach of contract. </w:t>
      </w:r>
      <w:hyperlink r:id="rId19" w:anchor="co_pp_sp_4041_885" w:history="1">
        <w:r w:rsidRPr="0090251D">
          <w:rPr>
            <w:rFonts w:ascii="Verdana" w:hAnsi="Verdana"/>
            <w:i/>
            <w:iCs/>
            <w:color w:val="000000" w:themeColor="text1"/>
            <w:sz w:val="22"/>
            <w:szCs w:val="22"/>
          </w:rPr>
          <w:t>Digerati Holdings, LLC v. Young Money Entertainment, LLC</w:t>
        </w:r>
        <w:r w:rsidRPr="0090251D">
          <w:rPr>
            <w:rFonts w:ascii="Verdana" w:hAnsi="Verdana"/>
            <w:color w:val="000000" w:themeColor="text1"/>
            <w:sz w:val="22"/>
            <w:szCs w:val="22"/>
          </w:rPr>
          <w:t xml:space="preserve">, 194 </w:t>
        </w:r>
        <w:r w:rsidRPr="0090251D">
          <w:rPr>
            <w:rFonts w:ascii="Verdana" w:hAnsi="Verdana"/>
            <w:i/>
            <w:iCs/>
            <w:color w:val="000000" w:themeColor="text1"/>
            <w:sz w:val="22"/>
            <w:szCs w:val="22"/>
          </w:rPr>
          <w:t>Cal.App.4th</w:t>
        </w:r>
        <w:r w:rsidRPr="0090251D">
          <w:rPr>
            <w:rFonts w:ascii="Verdana" w:hAnsi="Verdana"/>
            <w:color w:val="000000" w:themeColor="text1"/>
            <w:sz w:val="22"/>
            <w:szCs w:val="22"/>
          </w:rPr>
          <w:t xml:space="preserve"> 873, 885 (2011)</w:t>
        </w:r>
      </w:hyperlink>
      <w:r w:rsidRPr="0090251D">
        <w:rPr>
          <w:rFonts w:ascii="Verdana" w:hAnsi="Verdana"/>
          <w:color w:val="000000" w:themeColor="text1"/>
          <w:sz w:val="22"/>
          <w:szCs w:val="22"/>
        </w:rPr>
        <w:t xml:space="preserve">. The damages element is the same. </w:t>
      </w:r>
      <w:r w:rsidRPr="0090251D">
        <w:rPr>
          <w:rFonts w:ascii="Verdana" w:hAnsi="Verdana"/>
          <w:i/>
          <w:iCs/>
          <w:color w:val="000000" w:themeColor="text1"/>
          <w:sz w:val="22"/>
          <w:szCs w:val="22"/>
        </w:rPr>
        <w:t>Compare</w:t>
      </w:r>
      <w:r w:rsidRPr="0090251D">
        <w:rPr>
          <w:rFonts w:ascii="Verdana" w:hAnsi="Verdana"/>
          <w:color w:val="000000" w:themeColor="text1"/>
          <w:sz w:val="22"/>
          <w:szCs w:val="22"/>
        </w:rPr>
        <w:t xml:space="preserve"> </w:t>
      </w:r>
      <w:hyperlink r:id="rId20" w:history="1">
        <w:r w:rsidRPr="0090251D">
          <w:rPr>
            <w:rFonts w:ascii="Verdana" w:hAnsi="Verdana"/>
            <w:color w:val="000000" w:themeColor="text1"/>
            <w:sz w:val="22"/>
            <w:szCs w:val="22"/>
          </w:rPr>
          <w:t>CACI No. 303</w:t>
        </w:r>
      </w:hyperlink>
      <w:r w:rsidRPr="0090251D">
        <w:rPr>
          <w:rFonts w:ascii="Verdana" w:hAnsi="Verdana"/>
          <w:color w:val="000000" w:themeColor="text1"/>
          <w:sz w:val="22"/>
          <w:szCs w:val="22"/>
        </w:rPr>
        <w:t xml:space="preserve"> (breach of contract element 5: “That [name of plaintiff] was harmed by that failure”); </w:t>
      </w:r>
      <w:hyperlink r:id="rId21" w:history="1">
        <w:r w:rsidRPr="0090251D">
          <w:rPr>
            <w:rFonts w:ascii="Verdana" w:hAnsi="Verdana"/>
            <w:color w:val="000000" w:themeColor="text1"/>
            <w:sz w:val="22"/>
            <w:szCs w:val="22"/>
          </w:rPr>
          <w:t>CACI No. 325</w:t>
        </w:r>
      </w:hyperlink>
      <w:r w:rsidRPr="0090251D">
        <w:rPr>
          <w:rFonts w:ascii="Verdana" w:hAnsi="Verdana"/>
          <w:color w:val="000000" w:themeColor="text1"/>
          <w:sz w:val="22"/>
          <w:szCs w:val="22"/>
        </w:rPr>
        <w:t xml:space="preserve"> (breach of covenant of good faith and fair dealing element 5: “That [name of plaintiff] was harmed by [name of defendant]’s conduct”).</w:t>
      </w:r>
    </w:p>
    <w:p w14:paraId="34307D37"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43408251"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lastRenderedPageBreak/>
        <w:t>The alleged harm arises from Instagram asserted “imminent plans” to sublicense Plaintiff’s pictures or other content she posted. Complaint, ¶ 30. This is not harm if Plaintiff agreed to the New Terms. And under the allegations of the Complaint, she did.</w:t>
      </w:r>
    </w:p>
    <w:p w14:paraId="1CD44760"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16C30193"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 . . </w:t>
      </w:r>
    </w:p>
    <w:p w14:paraId="522013C2"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33A2CB86" w14:textId="77777777" w:rsidR="00944D9A" w:rsidRPr="0090251D" w:rsidRDefault="00944D9A" w:rsidP="00944D9A">
      <w:pPr>
        <w:widowControl w:val="0"/>
        <w:autoSpaceDE w:val="0"/>
        <w:autoSpaceDN w:val="0"/>
        <w:adjustRightInd w:val="0"/>
        <w:rPr>
          <w:rFonts w:ascii="Verdana" w:hAnsi="Verdana"/>
          <w:b/>
          <w:bCs/>
          <w:color w:val="000000" w:themeColor="text1"/>
          <w:sz w:val="22"/>
          <w:szCs w:val="22"/>
        </w:rPr>
      </w:pPr>
      <w:r w:rsidRPr="0090251D">
        <w:rPr>
          <w:rFonts w:ascii="Verdana" w:hAnsi="Verdana"/>
          <w:b/>
          <w:bCs/>
          <w:color w:val="000000" w:themeColor="text1"/>
          <w:sz w:val="22"/>
          <w:szCs w:val="22"/>
        </w:rPr>
        <w:t>Conclusion</w:t>
      </w:r>
    </w:p>
    <w:p w14:paraId="0766A98D" w14:textId="77777777" w:rsidR="00944D9A" w:rsidRPr="0090251D" w:rsidRDefault="00944D9A" w:rsidP="00944D9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For the foregoing reasons, the demurrer is sustained without leave to amend.</w:t>
      </w:r>
    </w:p>
    <w:p w14:paraId="08833FD9" w14:textId="77777777" w:rsidR="00944D9A" w:rsidRPr="0090251D" w:rsidRDefault="00944D9A" w:rsidP="00944D9A">
      <w:pPr>
        <w:rPr>
          <w:rFonts w:ascii="Verdana" w:hAnsi="Verdana"/>
          <w:color w:val="000000" w:themeColor="text1"/>
          <w:sz w:val="22"/>
          <w:szCs w:val="22"/>
        </w:rPr>
      </w:pPr>
    </w:p>
    <w:p w14:paraId="65963F64"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9A"/>
    <w:rsid w:val="00944D9A"/>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A5FC"/>
  <w15:chartTrackingRefBased/>
  <w15:docId w15:val="{08C47EF1-87CE-4307-B3A9-E726800A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A"/>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Y&amp;serNum=1992069400&amp;pubNum=0004040&amp;fi=co_pp_sp_4040_374&amp;originationContext=document&amp;vr=3.0&amp;rs=cblt1.0&amp;transitionType=DocumentItem&amp;contextData=(sc.Search)" TargetMode="External"/><Relationship Id="rId13" Type="http://schemas.openxmlformats.org/officeDocument/2006/relationships/hyperlink" Target="http://www.westlaw.com/Link/Document/FullText?findType=Y&amp;serNum=1998224836&amp;pubNum=0004041&amp;fi=co_pp_sp_4041_796&amp;originationContext=document&amp;vr=3.0&amp;rs=cblt1.0&amp;transitionType=DocumentItem&amp;contextData=(sc.Search)" TargetMode="External"/><Relationship Id="rId18" Type="http://schemas.openxmlformats.org/officeDocument/2006/relationships/hyperlink" Target="http://www.westlaw.com/Link/Document/FullText?findType=Y&amp;serNum=0295730106&amp;pubNum=0164298&amp;originationContext=document&amp;vr=3.0&amp;rs=cblt1.0&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www.westlaw.com/Link/Document/FullText?findType=Y&amp;serNum=0299287197&amp;pubNum=0164298&amp;originationContext=document&amp;vr=3.0&amp;rs=cblt1.0&amp;transitionType=DocumentItem&amp;contextData=(sc.Search)" TargetMode="External"/><Relationship Id="rId7" Type="http://schemas.openxmlformats.org/officeDocument/2006/relationships/hyperlink" Target="http://www.westlaw.com/Link/Document/FullText?findType=Y&amp;serNum=1992069400&amp;pubNum=0004040&amp;fi=co_pp_sp_4040_373&amp;originationContext=document&amp;vr=3.0&amp;rs=cblt1.0&amp;transitionType=DocumentItem&amp;contextData=(sc.Search)" TargetMode="External"/><Relationship Id="rId12" Type="http://schemas.openxmlformats.org/officeDocument/2006/relationships/hyperlink" Target="http://www.westlaw.com/Link/Document/FullText?findType=Y&amp;serNum=1998224836&amp;pubNum=0004041&amp;fi=co_pp_sp_4041_781&amp;originationContext=document&amp;vr=3.0&amp;rs=cblt1.0&amp;transitionType=DocumentItem&amp;contextData=(sc.Search)" TargetMode="External"/><Relationship Id="rId17" Type="http://schemas.openxmlformats.org/officeDocument/2006/relationships/hyperlink" Target="http://www.westlaw.com/Link/Document/FullText?findType=Y&amp;serNum=1971103050&amp;pubNum=0000226&amp;fi=co_pp_sp_226_913&amp;originationContext=document&amp;vr=3.0&amp;rs=cblt1.0&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www.westlaw.com/Link/Document/FullText?findType=Y&amp;serNum=2018306661&amp;pubNum=0004041&amp;fi=co_pp_sp_4041_1352&amp;originationContext=document&amp;vr=3.0&amp;rs=cblt1.0&amp;transitionType=DocumentItem&amp;contextData=(sc.Search)" TargetMode="External"/><Relationship Id="rId20" Type="http://schemas.openxmlformats.org/officeDocument/2006/relationships/hyperlink" Target="http://www.westlaw.com/Link/Document/FullText?findType=Y&amp;serNum=0295730106&amp;pubNum=0164298&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yperlink" Target="http://www.westlaw.com/Link/Document/FullText?findType=Y&amp;serNum=1992069400&amp;pubNum=0004040&amp;fi=co_pp_sp_4040_372&amp;originationContext=document&amp;vr=3.0&amp;rs=cblt1.0&amp;transitionType=DocumentItem&amp;contextData=(sc.Search)" TargetMode="External"/><Relationship Id="rId11" Type="http://schemas.openxmlformats.org/officeDocument/2006/relationships/hyperlink" Target="http://www.westlaw.com/Link/Document/FullText?findType=Y&amp;serNum=1998224836&amp;pubNum=0004041&amp;fi=co_pp_sp_4041_783&amp;originationContext=document&amp;vr=3.0&amp;rs=cblt1.0&amp;transitionType=DocumentItem&amp;contextData=(sc.Search)" TargetMode="External"/><Relationship Id="rId5" Type="http://schemas.openxmlformats.org/officeDocument/2006/relationships/hyperlink" Target="http://www.westlaw.com/Link/Document/FullText?findType=Y&amp;serNum=1992069400&amp;pubNum=0004040&amp;fi=co_pp_sp_4040_371&amp;originationContext=document&amp;vr=3.0&amp;rs=cblt1.0&amp;transitionType=DocumentItem&amp;contextData=(sc.Search)" TargetMode="External"/><Relationship Id="rId15" Type="http://schemas.openxmlformats.org/officeDocument/2006/relationships/hyperlink" Target="http://www.westlaw.com/Link/Document/FullText?findType=Y&amp;serNum=2029976586&amp;pubNum=0004637&amp;fi=co_pp_sp_4637_1199&amp;originationContext=document&amp;vr=3.0&amp;rs=cblt1.0&amp;transitionType=DocumentItem&amp;contextData=(sc.Search)" TargetMode="External"/><Relationship Id="rId23" Type="http://schemas.openxmlformats.org/officeDocument/2006/relationships/theme" Target="theme/theme1.xml"/><Relationship Id="rId10" Type="http://schemas.openxmlformats.org/officeDocument/2006/relationships/hyperlink" Target="http://www.westlaw.com/Link/Document/FullText?findType=Y&amp;serNum=1998224836&amp;pubNum=0004041&amp;originationContext=document&amp;vr=3.0&amp;rs=cblt1.0&amp;transitionType=DocumentItem&amp;contextData=(sc.Search)" TargetMode="External"/><Relationship Id="rId19" Type="http://schemas.openxmlformats.org/officeDocument/2006/relationships/hyperlink" Target="http://www.westlaw.com/Link/Document/FullText?findType=Y&amp;serNum=2025166579&amp;pubNum=0004041&amp;fi=co_pp_sp_4041_885&amp;originationContext=document&amp;vr=3.0&amp;rs=cblt1.0&amp;transitionType=DocumentItem&amp;contextData=(sc.Search)" TargetMode="External"/><Relationship Id="rId4" Type="http://schemas.openxmlformats.org/officeDocument/2006/relationships/hyperlink" Target="http://www.westlaw.com/Link/Document/FullText?findType=L&amp;pubNum=1000199&amp;cite=CABPS17200&amp;originatingDoc=Idf6735c8a51b11e3a659df62eba144e8&amp;refType=LQ&amp;originationContext=document&amp;vr=3.0&amp;rs=cblt1.0&amp;transitionType=DocumentItem&amp;contextData=(sc.Search)" TargetMode="External"/><Relationship Id="rId9" Type="http://schemas.openxmlformats.org/officeDocument/2006/relationships/hyperlink" Target="http://www.westlaw.com/Link/Document/FullText?findType=Y&amp;serNum=2001440612&amp;pubNum=0004041&amp;fi=co_pp_sp_4041_509&amp;originationContext=document&amp;vr=3.0&amp;rs=cblt1.0&amp;transitionType=DocumentItem&amp;contextData=(sc.Search)" TargetMode="External"/><Relationship Id="rId14" Type="http://schemas.openxmlformats.org/officeDocument/2006/relationships/hyperlink" Target="http://www.westlaw.com/Link/Document/FullText?findType=Y&amp;serNum=2028900390&amp;pubNum=0004637&amp;fi=co_pp_sp_4637_1176&amp;originationContext=document&amp;vr=3.0&amp;rs=cblt1.0&amp;transitionType=DocumentItem&amp;contextData=(sc.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2020-10-08T23:01:00Z</dcterms:created>
  <dcterms:modified xsi:type="dcterms:W3CDTF">2020-10-08T23:01:00Z</dcterms:modified>
</cp:coreProperties>
</file>