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89753" w14:textId="77777777" w:rsidR="00C64AAF" w:rsidRPr="0090251D" w:rsidRDefault="00C64AAF" w:rsidP="00C64AAF">
      <w:pPr>
        <w:autoSpaceDE w:val="0"/>
        <w:autoSpaceDN w:val="0"/>
        <w:adjustRightInd w:val="0"/>
        <w:ind w:right="1195"/>
        <w:jc w:val="center"/>
        <w:outlineLvl w:val="0"/>
        <w:rPr>
          <w:rFonts w:ascii="Verdana" w:hAnsi="Verdana"/>
          <w:bCs/>
          <w:sz w:val="22"/>
          <w:szCs w:val="22"/>
        </w:rPr>
      </w:pPr>
      <w:bookmarkStart w:id="0" w:name="_Toc28976512"/>
      <w:proofErr w:type="spellStart"/>
      <w:r w:rsidRPr="0090251D">
        <w:rPr>
          <w:rFonts w:ascii="Verdana" w:hAnsi="Verdana"/>
          <w:bCs/>
          <w:sz w:val="22"/>
          <w:szCs w:val="22"/>
        </w:rPr>
        <w:t>ProCD</w:t>
      </w:r>
      <w:proofErr w:type="spellEnd"/>
      <w:r w:rsidRPr="0090251D">
        <w:rPr>
          <w:rFonts w:ascii="Verdana" w:hAnsi="Verdana"/>
          <w:bCs/>
          <w:sz w:val="22"/>
          <w:szCs w:val="22"/>
        </w:rPr>
        <w:t xml:space="preserve"> v. </w:t>
      </w:r>
      <w:proofErr w:type="spellStart"/>
      <w:r w:rsidRPr="0090251D">
        <w:rPr>
          <w:rFonts w:ascii="Verdana" w:hAnsi="Verdana"/>
          <w:bCs/>
          <w:sz w:val="22"/>
          <w:szCs w:val="22"/>
        </w:rPr>
        <w:t>Zeidenberg</w:t>
      </w:r>
      <w:bookmarkEnd w:id="0"/>
      <w:proofErr w:type="spellEnd"/>
    </w:p>
    <w:p w14:paraId="08021D47" w14:textId="77777777" w:rsidR="00C64AAF" w:rsidRPr="0090251D" w:rsidRDefault="00C64AAF" w:rsidP="00C64AAF">
      <w:pPr>
        <w:autoSpaceDE w:val="0"/>
        <w:autoSpaceDN w:val="0"/>
        <w:adjustRightInd w:val="0"/>
        <w:ind w:right="1200"/>
        <w:jc w:val="center"/>
        <w:rPr>
          <w:rFonts w:ascii="Verdana" w:hAnsi="Verdana"/>
          <w:sz w:val="22"/>
          <w:szCs w:val="22"/>
        </w:rPr>
      </w:pPr>
      <w:r w:rsidRPr="0090251D">
        <w:rPr>
          <w:rFonts w:ascii="Verdana" w:hAnsi="Verdana"/>
          <w:bCs/>
          <w:sz w:val="22"/>
          <w:szCs w:val="22"/>
        </w:rPr>
        <w:t xml:space="preserve">United States Court </w:t>
      </w:r>
      <w:proofErr w:type="gramStart"/>
      <w:r w:rsidRPr="0090251D">
        <w:rPr>
          <w:rFonts w:ascii="Verdana" w:hAnsi="Verdana"/>
          <w:bCs/>
          <w:sz w:val="22"/>
          <w:szCs w:val="22"/>
        </w:rPr>
        <w:t>Of</w:t>
      </w:r>
      <w:proofErr w:type="gramEnd"/>
      <w:r w:rsidRPr="0090251D">
        <w:rPr>
          <w:rFonts w:ascii="Verdana" w:hAnsi="Verdana"/>
          <w:bCs/>
          <w:sz w:val="22"/>
          <w:szCs w:val="22"/>
        </w:rPr>
        <w:t xml:space="preserve"> Appeals For The Seventh Circuit</w:t>
      </w:r>
    </w:p>
    <w:p w14:paraId="5429E344" w14:textId="77777777" w:rsidR="00C64AAF" w:rsidRPr="0090251D" w:rsidRDefault="00C64AAF" w:rsidP="00C64AAF">
      <w:pPr>
        <w:autoSpaceDE w:val="0"/>
        <w:autoSpaceDN w:val="0"/>
        <w:adjustRightInd w:val="0"/>
        <w:ind w:right="1200"/>
        <w:jc w:val="center"/>
        <w:rPr>
          <w:rFonts w:ascii="Verdana" w:hAnsi="Verdana"/>
          <w:sz w:val="22"/>
          <w:szCs w:val="22"/>
        </w:rPr>
      </w:pPr>
      <w:r w:rsidRPr="0090251D">
        <w:rPr>
          <w:rFonts w:ascii="Verdana" w:hAnsi="Verdana"/>
          <w:bCs/>
          <w:iCs/>
          <w:sz w:val="22"/>
          <w:szCs w:val="22"/>
        </w:rPr>
        <w:t>86 F.3d 1447 (</w:t>
      </w:r>
      <w:r w:rsidRPr="0090251D">
        <w:rPr>
          <w:rFonts w:ascii="Verdana" w:hAnsi="Verdana"/>
          <w:bCs/>
          <w:sz w:val="22"/>
          <w:szCs w:val="22"/>
        </w:rPr>
        <w:t>1996)</w:t>
      </w:r>
    </w:p>
    <w:p w14:paraId="66008390" w14:textId="77777777" w:rsidR="00C64AAF" w:rsidRPr="0090251D" w:rsidRDefault="00C64AAF" w:rsidP="00C64AAF">
      <w:pPr>
        <w:autoSpaceDE w:val="0"/>
        <w:autoSpaceDN w:val="0"/>
        <w:adjustRightInd w:val="0"/>
        <w:rPr>
          <w:rFonts w:ascii="Verdana" w:hAnsi="Verdana"/>
          <w:sz w:val="22"/>
          <w:szCs w:val="22"/>
        </w:rPr>
      </w:pPr>
    </w:p>
    <w:p w14:paraId="3CC41FAD" w14:textId="77777777" w:rsidR="00C64AAF" w:rsidRPr="0090251D" w:rsidRDefault="00C64AAF" w:rsidP="00C64AAF">
      <w:pPr>
        <w:autoSpaceDE w:val="0"/>
        <w:autoSpaceDN w:val="0"/>
        <w:adjustRightInd w:val="0"/>
        <w:rPr>
          <w:rFonts w:ascii="Verdana" w:hAnsi="Verdana"/>
          <w:b/>
          <w:bCs/>
          <w:sz w:val="22"/>
          <w:szCs w:val="22"/>
        </w:rPr>
      </w:pPr>
    </w:p>
    <w:p w14:paraId="4B000D0F" w14:textId="77777777" w:rsidR="00C64AAF" w:rsidRPr="0090251D" w:rsidRDefault="00C64AAF" w:rsidP="00C64AAF">
      <w:pPr>
        <w:autoSpaceDE w:val="0"/>
        <w:autoSpaceDN w:val="0"/>
        <w:adjustRightInd w:val="0"/>
        <w:rPr>
          <w:rFonts w:ascii="Verdana" w:hAnsi="Verdana"/>
          <w:sz w:val="22"/>
          <w:szCs w:val="22"/>
        </w:rPr>
      </w:pPr>
      <w:r w:rsidRPr="0090251D">
        <w:rPr>
          <w:rFonts w:ascii="Verdana" w:hAnsi="Verdana"/>
          <w:sz w:val="22"/>
          <w:szCs w:val="22"/>
        </w:rPr>
        <w:t xml:space="preserve"> EASTERBROOK, </w:t>
      </w:r>
      <w:r w:rsidRPr="0090251D">
        <w:rPr>
          <w:rFonts w:ascii="Verdana" w:hAnsi="Verdana"/>
          <w:i/>
          <w:iCs/>
          <w:sz w:val="22"/>
          <w:szCs w:val="22"/>
        </w:rPr>
        <w:t>Circuit Judge.</w:t>
      </w:r>
      <w:r w:rsidRPr="0090251D">
        <w:rPr>
          <w:rFonts w:ascii="Verdana" w:hAnsi="Verdana"/>
          <w:sz w:val="22"/>
          <w:szCs w:val="22"/>
        </w:rPr>
        <w:t xml:space="preserve"> Must buyers of computer software obey the terms of </w:t>
      </w:r>
      <w:proofErr w:type="spellStart"/>
      <w:r w:rsidRPr="0090251D">
        <w:rPr>
          <w:rFonts w:ascii="Verdana" w:hAnsi="Verdana"/>
          <w:sz w:val="22"/>
          <w:szCs w:val="22"/>
        </w:rPr>
        <w:t>shrinkwrap</w:t>
      </w:r>
      <w:proofErr w:type="spellEnd"/>
      <w:r w:rsidRPr="0090251D">
        <w:rPr>
          <w:rFonts w:ascii="Verdana" w:hAnsi="Verdana"/>
          <w:sz w:val="22"/>
          <w:szCs w:val="22"/>
        </w:rPr>
        <w:t xml:space="preserve"> licenses? The district court held not, for two reasons: first, they are not </w:t>
      </w:r>
      <w:proofErr w:type="gramStart"/>
      <w:r w:rsidRPr="0090251D">
        <w:rPr>
          <w:rFonts w:ascii="Verdana" w:hAnsi="Verdana"/>
          <w:sz w:val="22"/>
          <w:szCs w:val="22"/>
        </w:rPr>
        <w:t>contracts</w:t>
      </w:r>
      <w:proofErr w:type="gramEnd"/>
      <w:r w:rsidRPr="0090251D">
        <w:rPr>
          <w:rFonts w:ascii="Verdana" w:hAnsi="Verdana"/>
          <w:sz w:val="22"/>
          <w:szCs w:val="22"/>
        </w:rPr>
        <w:t xml:space="preserve"> because the licenses are inside the box rather than printed on the outside; second, federal law forbids enforcement even if the licenses are contracts.  </w:t>
      </w:r>
      <w:r w:rsidRPr="0090251D">
        <w:rPr>
          <w:rFonts w:ascii="Verdana" w:hAnsi="Verdana"/>
          <w:i/>
          <w:iCs/>
          <w:sz w:val="22"/>
          <w:szCs w:val="22"/>
        </w:rPr>
        <w:t>908 F. Supp. 640 (W.D. Wis. 1996).</w:t>
      </w:r>
      <w:r w:rsidRPr="0090251D">
        <w:rPr>
          <w:rFonts w:ascii="Verdana" w:hAnsi="Verdana"/>
          <w:sz w:val="22"/>
          <w:szCs w:val="22"/>
        </w:rPr>
        <w:t xml:space="preserve"> The parties and numerous amici curiae have briefed many other issues, but these are the only two that matter--and we disagree with the district judge's conclusion on each. </w:t>
      </w:r>
      <w:proofErr w:type="spellStart"/>
      <w:r w:rsidRPr="0090251D">
        <w:rPr>
          <w:rFonts w:ascii="Verdana" w:hAnsi="Verdana"/>
          <w:sz w:val="22"/>
          <w:szCs w:val="22"/>
        </w:rPr>
        <w:t>Shrinkwrap</w:t>
      </w:r>
      <w:proofErr w:type="spellEnd"/>
      <w:r w:rsidRPr="0090251D">
        <w:rPr>
          <w:rFonts w:ascii="Verdana" w:hAnsi="Verdana"/>
          <w:sz w:val="22"/>
          <w:szCs w:val="22"/>
        </w:rPr>
        <w:t xml:space="preserve"> licenses are enforceable unless their terms are objectionable on grounds applicable to contracts in general (for example, if they violate a rule of positive law, or if they are unconscionable). Because no one argues that the terms of the license at issue here are troublesome, we remand with instructions to enter judgment for the plaintiff.</w:t>
      </w:r>
    </w:p>
    <w:p w14:paraId="5C01D0CA"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b/>
          <w:bCs/>
          <w:sz w:val="22"/>
          <w:szCs w:val="22"/>
        </w:rPr>
        <w:t>I</w:t>
      </w:r>
    </w:p>
    <w:p w14:paraId="4CB3B524" w14:textId="77777777" w:rsidR="00C64AAF" w:rsidRPr="0090251D" w:rsidRDefault="00C64AAF" w:rsidP="00C64AAF">
      <w:pPr>
        <w:autoSpaceDE w:val="0"/>
        <w:autoSpaceDN w:val="0"/>
        <w:adjustRightInd w:val="0"/>
        <w:spacing w:before="120"/>
        <w:rPr>
          <w:rFonts w:ascii="Verdana" w:hAnsi="Verdana"/>
          <w:sz w:val="22"/>
          <w:szCs w:val="22"/>
        </w:rPr>
      </w:pPr>
      <w:proofErr w:type="spellStart"/>
      <w:r w:rsidRPr="0090251D">
        <w:rPr>
          <w:rFonts w:ascii="Verdana" w:hAnsi="Verdana"/>
          <w:sz w:val="22"/>
          <w:szCs w:val="22"/>
        </w:rPr>
        <w:t>ProCD</w:t>
      </w:r>
      <w:proofErr w:type="spellEnd"/>
      <w:r w:rsidRPr="0090251D">
        <w:rPr>
          <w:rFonts w:ascii="Verdana" w:hAnsi="Verdana"/>
          <w:sz w:val="22"/>
          <w:szCs w:val="22"/>
        </w:rPr>
        <w:t xml:space="preserve">, the plaintiff, has compiled information from more than 3,000 telephone directories into a computer database. We may assume that this database cannot be copyrighted, although it is more complex, contains more information (nine-digit zip codes and census industrial codes), is organized differently, and therefore is more original than the single alphabetical directory at issue in </w:t>
      </w:r>
      <w:r w:rsidRPr="0090251D">
        <w:rPr>
          <w:rFonts w:ascii="Verdana" w:hAnsi="Verdana"/>
          <w:i/>
          <w:iCs/>
          <w:sz w:val="22"/>
          <w:szCs w:val="22"/>
        </w:rPr>
        <w:t>Feist Publications, Inc. v. Rural Telephone Service Co., 499 U.S. 340, 113 L. Ed. 2d 358, 111 S. Ct. 1282 (1991).</w:t>
      </w:r>
      <w:r w:rsidRPr="0090251D">
        <w:rPr>
          <w:rFonts w:ascii="Verdana" w:hAnsi="Verdana"/>
          <w:sz w:val="22"/>
          <w:szCs w:val="22"/>
        </w:rPr>
        <w:t xml:space="preserve"> See Paul J. Heald, </w:t>
      </w:r>
      <w:r w:rsidRPr="0090251D">
        <w:rPr>
          <w:rFonts w:ascii="Verdana" w:hAnsi="Verdana"/>
          <w:i/>
          <w:iCs/>
          <w:sz w:val="22"/>
          <w:szCs w:val="22"/>
        </w:rPr>
        <w:t>The Vices of Originality,</w:t>
      </w:r>
      <w:r w:rsidRPr="0090251D">
        <w:rPr>
          <w:rFonts w:ascii="Verdana" w:hAnsi="Verdana"/>
          <w:sz w:val="22"/>
          <w:szCs w:val="22"/>
        </w:rPr>
        <w:t xml:space="preserve"> </w:t>
      </w:r>
      <w:r w:rsidRPr="0090251D">
        <w:rPr>
          <w:rFonts w:ascii="Verdana" w:hAnsi="Verdana"/>
          <w:i/>
          <w:iCs/>
          <w:sz w:val="22"/>
          <w:szCs w:val="22"/>
        </w:rPr>
        <w:t>1991 Sup. Ct. Rev. 143, 160-68.</w:t>
      </w:r>
      <w:r w:rsidRPr="0090251D">
        <w:rPr>
          <w:rFonts w:ascii="Verdana" w:hAnsi="Verdana"/>
          <w:sz w:val="22"/>
          <w:szCs w:val="22"/>
        </w:rPr>
        <w:t xml:space="preserve"> </w:t>
      </w:r>
      <w:proofErr w:type="spellStart"/>
      <w:r w:rsidRPr="0090251D">
        <w:rPr>
          <w:rFonts w:ascii="Verdana" w:hAnsi="Verdana"/>
          <w:sz w:val="22"/>
          <w:szCs w:val="22"/>
        </w:rPr>
        <w:t>ProCD</w:t>
      </w:r>
      <w:proofErr w:type="spellEnd"/>
      <w:r w:rsidRPr="0090251D">
        <w:rPr>
          <w:rFonts w:ascii="Verdana" w:hAnsi="Verdana"/>
          <w:sz w:val="22"/>
          <w:szCs w:val="22"/>
        </w:rPr>
        <w:t xml:space="preserve"> sells a version of the database, called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on CD-ROM discs. (CD-ROM means "compact disc--read only memory." The "</w:t>
      </w:r>
      <w:proofErr w:type="spellStart"/>
      <w:r w:rsidRPr="0090251D">
        <w:rPr>
          <w:rFonts w:ascii="Verdana" w:hAnsi="Verdana"/>
          <w:sz w:val="22"/>
          <w:szCs w:val="22"/>
        </w:rPr>
        <w:t>shrinkwrap</w:t>
      </w:r>
      <w:proofErr w:type="spellEnd"/>
      <w:r w:rsidRPr="0090251D">
        <w:rPr>
          <w:rFonts w:ascii="Verdana" w:hAnsi="Verdana"/>
          <w:sz w:val="22"/>
          <w:szCs w:val="22"/>
        </w:rPr>
        <w:t xml:space="preserve"> license" gets its name from the fact that retail software packages are covered in plastic or cellophane "</w:t>
      </w:r>
      <w:proofErr w:type="spellStart"/>
      <w:r w:rsidRPr="0090251D">
        <w:rPr>
          <w:rFonts w:ascii="Verdana" w:hAnsi="Verdana"/>
          <w:sz w:val="22"/>
          <w:szCs w:val="22"/>
        </w:rPr>
        <w:t>shrinkwrap</w:t>
      </w:r>
      <w:proofErr w:type="spellEnd"/>
      <w:r w:rsidRPr="0090251D">
        <w:rPr>
          <w:rFonts w:ascii="Verdana" w:hAnsi="Verdana"/>
          <w:sz w:val="22"/>
          <w:szCs w:val="22"/>
        </w:rPr>
        <w:t xml:space="preserve">," and some vendors, though not </w:t>
      </w:r>
      <w:proofErr w:type="spellStart"/>
      <w:r w:rsidRPr="0090251D">
        <w:rPr>
          <w:rFonts w:ascii="Verdana" w:hAnsi="Verdana"/>
          <w:sz w:val="22"/>
          <w:szCs w:val="22"/>
        </w:rPr>
        <w:t>ProCD</w:t>
      </w:r>
      <w:proofErr w:type="spellEnd"/>
      <w:r w:rsidRPr="0090251D">
        <w:rPr>
          <w:rFonts w:ascii="Verdana" w:hAnsi="Verdana"/>
          <w:sz w:val="22"/>
          <w:szCs w:val="22"/>
        </w:rPr>
        <w:t xml:space="preserve">, have written licenses that become effective as soon as the customer tears the wrapping from the package. Vendors prefer "end user license," but we use the more common term.) A proprietary method of compressing the data serves as effective encryption too. Customers decrypt and use the data with the aid of an application program that </w:t>
      </w:r>
      <w:proofErr w:type="spellStart"/>
      <w:r w:rsidRPr="0090251D">
        <w:rPr>
          <w:rFonts w:ascii="Verdana" w:hAnsi="Verdana"/>
          <w:sz w:val="22"/>
          <w:szCs w:val="22"/>
        </w:rPr>
        <w:t>ProCD</w:t>
      </w:r>
      <w:proofErr w:type="spellEnd"/>
      <w:r w:rsidRPr="0090251D">
        <w:rPr>
          <w:rFonts w:ascii="Verdana" w:hAnsi="Verdana"/>
          <w:sz w:val="22"/>
          <w:szCs w:val="22"/>
        </w:rPr>
        <w:t xml:space="preserve"> has written. This program, which is copyrighted, searches the database in response to users' criteria (such as "find all people named Tatum in Tennessee, plus all firms with 'Door Systems' in the corporate name"). The resulting lists (or, as </w:t>
      </w:r>
      <w:proofErr w:type="spellStart"/>
      <w:r w:rsidRPr="0090251D">
        <w:rPr>
          <w:rFonts w:ascii="Verdana" w:hAnsi="Verdana"/>
          <w:sz w:val="22"/>
          <w:szCs w:val="22"/>
        </w:rPr>
        <w:t>ProCD</w:t>
      </w:r>
      <w:proofErr w:type="spellEnd"/>
      <w:r w:rsidRPr="0090251D">
        <w:rPr>
          <w:rFonts w:ascii="Verdana" w:hAnsi="Verdana"/>
          <w:sz w:val="22"/>
          <w:szCs w:val="22"/>
        </w:rPr>
        <w:t xml:space="preserve"> prefers, "listings") can be read and manipulated by other software, such as word processing programs.</w:t>
      </w:r>
    </w:p>
    <w:p w14:paraId="2539052A"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The database in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cost more than $ 10 million to compile and is expensive to keep current. It is much more valuable to some users than to others. The combination of names, addresses, and sic codes enables manufacturers to compile lists of potential customers. Manufacturers and retailers pay high prices to specialized information intermediaries for such mailing lists; </w:t>
      </w:r>
      <w:proofErr w:type="spellStart"/>
      <w:r w:rsidRPr="0090251D">
        <w:rPr>
          <w:rFonts w:ascii="Verdana" w:hAnsi="Verdana"/>
          <w:sz w:val="22"/>
          <w:szCs w:val="22"/>
        </w:rPr>
        <w:t>ProCD</w:t>
      </w:r>
      <w:proofErr w:type="spellEnd"/>
      <w:r w:rsidRPr="0090251D">
        <w:rPr>
          <w:rFonts w:ascii="Verdana" w:hAnsi="Verdana"/>
          <w:sz w:val="22"/>
          <w:szCs w:val="22"/>
        </w:rPr>
        <w:t xml:space="preserve"> offers a potentially cheaper alternative. People with nothing to sell could use the database as a substitute for calling long distance information, or as a way to look up old friends who have moved to unknown towns, or just as </w:t>
      </w:r>
      <w:proofErr w:type="spellStart"/>
      <w:proofErr w:type="gramStart"/>
      <w:r w:rsidRPr="0090251D">
        <w:rPr>
          <w:rFonts w:ascii="Verdana" w:hAnsi="Verdana"/>
          <w:sz w:val="22"/>
          <w:szCs w:val="22"/>
        </w:rPr>
        <w:t>a</w:t>
      </w:r>
      <w:proofErr w:type="spellEnd"/>
      <w:proofErr w:type="gramEnd"/>
      <w:r w:rsidRPr="0090251D">
        <w:rPr>
          <w:rFonts w:ascii="Verdana" w:hAnsi="Verdana"/>
          <w:sz w:val="22"/>
          <w:szCs w:val="22"/>
        </w:rPr>
        <w:t xml:space="preserve"> electronic substitute for the local phone book. </w:t>
      </w:r>
      <w:proofErr w:type="spellStart"/>
      <w:r w:rsidRPr="0090251D">
        <w:rPr>
          <w:rFonts w:ascii="Verdana" w:hAnsi="Verdana"/>
          <w:sz w:val="22"/>
          <w:szCs w:val="22"/>
        </w:rPr>
        <w:t>ProCD</w:t>
      </w:r>
      <w:proofErr w:type="spellEnd"/>
      <w:r w:rsidRPr="0090251D">
        <w:rPr>
          <w:rFonts w:ascii="Verdana" w:hAnsi="Verdana"/>
          <w:sz w:val="22"/>
          <w:szCs w:val="22"/>
        </w:rPr>
        <w:t xml:space="preserve"> decided to engage in price discrimination, selling its database to the general public for personal use at a low price (approximately $ 150 </w:t>
      </w:r>
      <w:r w:rsidRPr="0090251D">
        <w:rPr>
          <w:rFonts w:ascii="Verdana" w:hAnsi="Verdana"/>
          <w:sz w:val="22"/>
          <w:szCs w:val="22"/>
        </w:rPr>
        <w:lastRenderedPageBreak/>
        <w:t xml:space="preserve">for the set of five discs) while selling information to the trade for a higher price. It has adopted some intermediate strategies too: access to the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database is available via the America On-line service for the price America Online charges to its clients (approximately $ 3 per hour), but this service has been tailored to be useful only to the general public.</w:t>
      </w:r>
    </w:p>
    <w:p w14:paraId="1787E2FE"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If </w:t>
      </w:r>
      <w:proofErr w:type="spellStart"/>
      <w:r w:rsidRPr="0090251D">
        <w:rPr>
          <w:rFonts w:ascii="Verdana" w:hAnsi="Verdana"/>
          <w:sz w:val="22"/>
          <w:szCs w:val="22"/>
        </w:rPr>
        <w:t>ProCD</w:t>
      </w:r>
      <w:proofErr w:type="spellEnd"/>
      <w:r w:rsidRPr="0090251D">
        <w:rPr>
          <w:rFonts w:ascii="Verdana" w:hAnsi="Verdana"/>
          <w:sz w:val="22"/>
          <w:szCs w:val="22"/>
        </w:rPr>
        <w:t xml:space="preserve"> had to recover all of its costs and make a profit by charging a single price--that is, if it could not charge more to commercial users than to the general public--it would have to raise the price substantially over $ 150. The ensuing reduction in sales would harm consumers who value the information at, say, $ 200. They get a consumer surplus of $ 50 under the current arrangement but would cease to buy if the price rose substantially. If because of high elasticity of demand in the consumer segment of the market the only way to make a profit turned out to be a price attractive to commercial users alone, then all consumers would lose out--and so would the commercial clients, who would have to pay more for the listings because </w:t>
      </w:r>
      <w:proofErr w:type="spellStart"/>
      <w:r w:rsidRPr="0090251D">
        <w:rPr>
          <w:rFonts w:ascii="Verdana" w:hAnsi="Verdana"/>
          <w:sz w:val="22"/>
          <w:szCs w:val="22"/>
        </w:rPr>
        <w:t>ProCD</w:t>
      </w:r>
      <w:proofErr w:type="spellEnd"/>
      <w:r w:rsidRPr="0090251D">
        <w:rPr>
          <w:rFonts w:ascii="Verdana" w:hAnsi="Verdana"/>
          <w:sz w:val="22"/>
          <w:szCs w:val="22"/>
        </w:rPr>
        <w:t xml:space="preserve"> could not obtain any contribution toward costs from the consumer market.</w:t>
      </w:r>
    </w:p>
    <w:p w14:paraId="531BEFBB"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 To make price discrimination work, however, the seller must be able to control arbitrage. An air carrier sells tickets for less to vacationers than to business travelers, using advance purchase and Saturday-night-stay requirements to distinguish the categories. A producer of movies segments the market by time, releasing first to theaters, then to pay-per-view services, next to the videotape and laserdisc market, and finally to cable and commercial tv. Vendors of computer software have a harder task. Anyone can walk into a retail store and buy a box. Customers do not wear tags saying "commercial user" or "consumer user." Anyway, even a commercial-user-detector at the door would not work, because a consumer could buy the software and resell to a commercial user. That arbitrage would break down the price discrimination and drive up the minimum price at which </w:t>
      </w:r>
      <w:proofErr w:type="spellStart"/>
      <w:r w:rsidRPr="0090251D">
        <w:rPr>
          <w:rFonts w:ascii="Verdana" w:hAnsi="Verdana"/>
          <w:sz w:val="22"/>
          <w:szCs w:val="22"/>
        </w:rPr>
        <w:t>ProCD</w:t>
      </w:r>
      <w:proofErr w:type="spellEnd"/>
      <w:r w:rsidRPr="0090251D">
        <w:rPr>
          <w:rFonts w:ascii="Verdana" w:hAnsi="Verdana"/>
          <w:sz w:val="22"/>
          <w:szCs w:val="22"/>
        </w:rPr>
        <w:t xml:space="preserve"> would sell to anyone.</w:t>
      </w:r>
    </w:p>
    <w:p w14:paraId="71C8C162"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Instead of tinkering with the product and letting users sort themselves--for example, furnishing current data at a high price that would be attractive only to commercial customers, and two-year-old data at a low price--</w:t>
      </w:r>
      <w:proofErr w:type="spellStart"/>
      <w:r w:rsidRPr="0090251D">
        <w:rPr>
          <w:rFonts w:ascii="Verdana" w:hAnsi="Verdana"/>
          <w:sz w:val="22"/>
          <w:szCs w:val="22"/>
        </w:rPr>
        <w:t>ProCD</w:t>
      </w:r>
      <w:proofErr w:type="spellEnd"/>
      <w:r w:rsidRPr="0090251D">
        <w:rPr>
          <w:rFonts w:ascii="Verdana" w:hAnsi="Verdana"/>
          <w:sz w:val="22"/>
          <w:szCs w:val="22"/>
        </w:rPr>
        <w:t xml:space="preserve"> turned to the institution of contract. Every box containing its consumer product declares that the software comes with restrictions stated in an enclosed license. This license, which is encoded on the CD-ROM disks as </w:t>
      </w:r>
      <w:proofErr w:type="gramStart"/>
      <w:r w:rsidRPr="0090251D">
        <w:rPr>
          <w:rFonts w:ascii="Verdana" w:hAnsi="Verdana"/>
          <w:sz w:val="22"/>
          <w:szCs w:val="22"/>
        </w:rPr>
        <w:t>well  as</w:t>
      </w:r>
      <w:proofErr w:type="gramEnd"/>
      <w:r w:rsidRPr="0090251D">
        <w:rPr>
          <w:rFonts w:ascii="Verdana" w:hAnsi="Verdana"/>
          <w:sz w:val="22"/>
          <w:szCs w:val="22"/>
        </w:rPr>
        <w:t xml:space="preserve"> printed in the manual, and which appears on a user's screen every time the software runs, limits use of the application program and listings to non-commercial purposes.</w:t>
      </w:r>
    </w:p>
    <w:p w14:paraId="3DAFAE62"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Matthew </w:t>
      </w:r>
      <w:proofErr w:type="spellStart"/>
      <w:r w:rsidRPr="0090251D">
        <w:rPr>
          <w:rFonts w:ascii="Verdana" w:hAnsi="Verdana"/>
          <w:sz w:val="22"/>
          <w:szCs w:val="22"/>
        </w:rPr>
        <w:t>Zeidenberg</w:t>
      </w:r>
      <w:proofErr w:type="spellEnd"/>
      <w:r w:rsidRPr="0090251D">
        <w:rPr>
          <w:rFonts w:ascii="Verdana" w:hAnsi="Verdana"/>
          <w:sz w:val="22"/>
          <w:szCs w:val="22"/>
        </w:rPr>
        <w:t xml:space="preserve"> bought a consumer package of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in 1994 from a retail outlet in Madison, Wisconsin, but decided to ignore the license. He formed Silken Mountain Web Services, Inc., to resell the information in the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database. The corporation makes the database available on the Internet to anyone willing to pay its price--which, needless to say, is less than </w:t>
      </w:r>
      <w:proofErr w:type="spellStart"/>
      <w:r w:rsidRPr="0090251D">
        <w:rPr>
          <w:rFonts w:ascii="Verdana" w:hAnsi="Verdana"/>
          <w:sz w:val="22"/>
          <w:szCs w:val="22"/>
        </w:rPr>
        <w:t>ProCD</w:t>
      </w:r>
      <w:proofErr w:type="spellEnd"/>
      <w:r w:rsidRPr="0090251D">
        <w:rPr>
          <w:rFonts w:ascii="Verdana" w:hAnsi="Verdana"/>
          <w:sz w:val="22"/>
          <w:szCs w:val="22"/>
        </w:rPr>
        <w:t xml:space="preserve"> charges its commercial customers. </w:t>
      </w:r>
      <w:proofErr w:type="spellStart"/>
      <w:r w:rsidRPr="0090251D">
        <w:rPr>
          <w:rFonts w:ascii="Verdana" w:hAnsi="Verdana"/>
          <w:sz w:val="22"/>
          <w:szCs w:val="22"/>
        </w:rPr>
        <w:t>Zeidenberg</w:t>
      </w:r>
      <w:proofErr w:type="spellEnd"/>
      <w:r w:rsidRPr="0090251D">
        <w:rPr>
          <w:rFonts w:ascii="Verdana" w:hAnsi="Verdana"/>
          <w:sz w:val="22"/>
          <w:szCs w:val="22"/>
        </w:rPr>
        <w:t xml:space="preserve"> has purchased two additional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packages, each with an updated version of the database, and made the latest information available over the World Wide Web, for a price, through his corporation. </w:t>
      </w:r>
      <w:proofErr w:type="spellStart"/>
      <w:r w:rsidRPr="0090251D">
        <w:rPr>
          <w:rFonts w:ascii="Verdana" w:hAnsi="Verdana"/>
          <w:sz w:val="22"/>
          <w:szCs w:val="22"/>
        </w:rPr>
        <w:t>ProCD</w:t>
      </w:r>
      <w:proofErr w:type="spellEnd"/>
      <w:r w:rsidRPr="0090251D">
        <w:rPr>
          <w:rFonts w:ascii="Verdana" w:hAnsi="Verdana"/>
          <w:sz w:val="22"/>
          <w:szCs w:val="22"/>
        </w:rPr>
        <w:t xml:space="preserve"> filed this suit seeking an injunction against further dissemination that exceeds the rights specified in the licenses (identical in each of the three packages </w:t>
      </w:r>
      <w:proofErr w:type="spellStart"/>
      <w:r w:rsidRPr="0090251D">
        <w:rPr>
          <w:rFonts w:ascii="Verdana" w:hAnsi="Verdana"/>
          <w:sz w:val="22"/>
          <w:szCs w:val="22"/>
        </w:rPr>
        <w:t>Zeidenberg</w:t>
      </w:r>
      <w:proofErr w:type="spellEnd"/>
      <w:r w:rsidRPr="0090251D">
        <w:rPr>
          <w:rFonts w:ascii="Verdana" w:hAnsi="Verdana"/>
          <w:sz w:val="22"/>
          <w:szCs w:val="22"/>
        </w:rPr>
        <w:t xml:space="preserve"> purchased). The district court held the </w:t>
      </w:r>
      <w:r w:rsidRPr="0090251D">
        <w:rPr>
          <w:rFonts w:ascii="Verdana" w:hAnsi="Verdana"/>
          <w:sz w:val="22"/>
          <w:szCs w:val="22"/>
        </w:rPr>
        <w:lastRenderedPageBreak/>
        <w:t xml:space="preserve">licenses ineffectual because their terms do not appear on the outside of the packages. The court added that the second and third licenses stand no different from the first, even though they are identical, because they </w:t>
      </w:r>
      <w:r w:rsidRPr="0090251D">
        <w:rPr>
          <w:rFonts w:ascii="Verdana" w:hAnsi="Verdana"/>
          <w:i/>
          <w:iCs/>
          <w:sz w:val="22"/>
          <w:szCs w:val="22"/>
        </w:rPr>
        <w:t>might</w:t>
      </w:r>
      <w:r w:rsidRPr="0090251D">
        <w:rPr>
          <w:rFonts w:ascii="Verdana" w:hAnsi="Verdana"/>
          <w:sz w:val="22"/>
          <w:szCs w:val="22"/>
        </w:rPr>
        <w:t xml:space="preserve"> have been different, and a purchaser does not agree to--and cannot be bound by--terms that were secret at the time of purchase.  </w:t>
      </w:r>
      <w:r w:rsidRPr="0090251D">
        <w:rPr>
          <w:rFonts w:ascii="Verdana" w:hAnsi="Verdana"/>
          <w:i/>
          <w:iCs/>
          <w:sz w:val="22"/>
          <w:szCs w:val="22"/>
        </w:rPr>
        <w:t>908 F. Supp. at 654.</w:t>
      </w:r>
    </w:p>
    <w:p w14:paraId="17C1C117"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b/>
          <w:bCs/>
          <w:sz w:val="22"/>
          <w:szCs w:val="22"/>
        </w:rPr>
        <w:t>II</w:t>
      </w:r>
    </w:p>
    <w:p w14:paraId="7F1960E0"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Following the district court, we treat the licenses as ordinary contracts accompanying the sale of products, and therefore as governed by the common law of contracts and the Uniform Commercial Code. Whether there are legal differences between "contracts" and "licenses" (which may matter under the copyright doctrine of first sale) is a subject for another day. See </w:t>
      </w:r>
      <w:r w:rsidRPr="0090251D">
        <w:rPr>
          <w:rFonts w:ascii="Verdana" w:hAnsi="Verdana"/>
          <w:i/>
          <w:iCs/>
          <w:sz w:val="22"/>
          <w:szCs w:val="22"/>
        </w:rPr>
        <w:t>Microsoft Corp. v. Harmony Computers &amp; Electronics, Inc., 846 F. Supp. 208 (E.D. N.Y. 1994).</w:t>
      </w:r>
      <w:r w:rsidRPr="0090251D">
        <w:rPr>
          <w:rFonts w:ascii="Verdana" w:hAnsi="Verdana"/>
          <w:sz w:val="22"/>
          <w:szCs w:val="22"/>
        </w:rPr>
        <w:t xml:space="preserve"> </w:t>
      </w:r>
      <w:proofErr w:type="spellStart"/>
      <w:r w:rsidRPr="0090251D">
        <w:rPr>
          <w:rFonts w:ascii="Verdana" w:hAnsi="Verdana"/>
          <w:sz w:val="22"/>
          <w:szCs w:val="22"/>
        </w:rPr>
        <w:t>Zeidenberg</w:t>
      </w:r>
      <w:proofErr w:type="spellEnd"/>
      <w:r w:rsidRPr="0090251D">
        <w:rPr>
          <w:rFonts w:ascii="Verdana" w:hAnsi="Verdana"/>
          <w:sz w:val="22"/>
          <w:szCs w:val="22"/>
        </w:rPr>
        <w:t xml:space="preserve"> does not argue that Silken Mountain Web Services is free of any restrictions that apply to </w:t>
      </w:r>
      <w:proofErr w:type="spellStart"/>
      <w:r w:rsidRPr="0090251D">
        <w:rPr>
          <w:rFonts w:ascii="Verdana" w:hAnsi="Verdana"/>
          <w:sz w:val="22"/>
          <w:szCs w:val="22"/>
        </w:rPr>
        <w:t>Zeidenberg</w:t>
      </w:r>
      <w:proofErr w:type="spellEnd"/>
      <w:r w:rsidRPr="0090251D">
        <w:rPr>
          <w:rFonts w:ascii="Verdana" w:hAnsi="Verdana"/>
          <w:sz w:val="22"/>
          <w:szCs w:val="22"/>
        </w:rPr>
        <w:t xml:space="preserve"> himself, because any effort to treat the two parties as distinct would put Silken Mountain behind the eight ball on </w:t>
      </w:r>
      <w:proofErr w:type="spellStart"/>
      <w:r w:rsidRPr="0090251D">
        <w:rPr>
          <w:rFonts w:ascii="Verdana" w:hAnsi="Verdana"/>
          <w:sz w:val="22"/>
          <w:szCs w:val="22"/>
        </w:rPr>
        <w:t>ProCD's</w:t>
      </w:r>
      <w:proofErr w:type="spellEnd"/>
      <w:r w:rsidRPr="0090251D">
        <w:rPr>
          <w:rFonts w:ascii="Verdana" w:hAnsi="Verdana"/>
          <w:sz w:val="22"/>
          <w:szCs w:val="22"/>
        </w:rPr>
        <w:t xml:space="preserve"> argument that copying the application program onto its hard disk violates the copyright laws. </w:t>
      </w:r>
      <w:proofErr w:type="spellStart"/>
      <w:r w:rsidRPr="0090251D">
        <w:rPr>
          <w:rFonts w:ascii="Verdana" w:hAnsi="Verdana"/>
          <w:sz w:val="22"/>
          <w:szCs w:val="22"/>
        </w:rPr>
        <w:t>Zeidenberg</w:t>
      </w:r>
      <w:proofErr w:type="spellEnd"/>
      <w:r w:rsidRPr="0090251D">
        <w:rPr>
          <w:rFonts w:ascii="Verdana" w:hAnsi="Verdana"/>
          <w:sz w:val="22"/>
          <w:szCs w:val="22"/>
        </w:rPr>
        <w:t xml:space="preserve"> does argue, and the district court held, that placing the package of software on the shelf is an "offer," which the customer "accepts" by paying the asking price and leaving the store with the goods.  </w:t>
      </w:r>
      <w:proofErr w:type="spellStart"/>
      <w:r w:rsidRPr="0090251D">
        <w:rPr>
          <w:rFonts w:ascii="Verdana" w:hAnsi="Verdana"/>
          <w:i/>
          <w:iCs/>
          <w:sz w:val="22"/>
          <w:szCs w:val="22"/>
        </w:rPr>
        <w:t>Peeters</w:t>
      </w:r>
      <w:proofErr w:type="spellEnd"/>
      <w:r w:rsidRPr="0090251D">
        <w:rPr>
          <w:rFonts w:ascii="Verdana" w:hAnsi="Verdana"/>
          <w:i/>
          <w:iCs/>
          <w:sz w:val="22"/>
          <w:szCs w:val="22"/>
        </w:rPr>
        <w:t xml:space="preserve"> v. State, 154 Wis. 111, 142 N.W. 181 (1913).</w:t>
      </w:r>
      <w:r w:rsidRPr="0090251D">
        <w:rPr>
          <w:rFonts w:ascii="Verdana" w:hAnsi="Verdana"/>
          <w:sz w:val="22"/>
          <w:szCs w:val="22"/>
        </w:rPr>
        <w:t xml:space="preserve"> In Wisconsin, as elsewhere, a contract includes only the terms on which the parties have agreed. One cannot agree to hidden terms, the judge concluded. So far, so good--but one of the terms to which </w:t>
      </w:r>
      <w:proofErr w:type="spellStart"/>
      <w:r w:rsidRPr="0090251D">
        <w:rPr>
          <w:rFonts w:ascii="Verdana" w:hAnsi="Verdana"/>
          <w:sz w:val="22"/>
          <w:szCs w:val="22"/>
        </w:rPr>
        <w:t>Zeidenberg</w:t>
      </w:r>
      <w:proofErr w:type="spellEnd"/>
      <w:r w:rsidRPr="0090251D">
        <w:rPr>
          <w:rFonts w:ascii="Verdana" w:hAnsi="Verdana"/>
          <w:sz w:val="22"/>
          <w:szCs w:val="22"/>
        </w:rPr>
        <w:t xml:space="preserve"> agreed by purchasing the software is that the transaction was subject to a license. </w:t>
      </w:r>
      <w:proofErr w:type="spellStart"/>
      <w:r w:rsidRPr="0090251D">
        <w:rPr>
          <w:rFonts w:ascii="Verdana" w:hAnsi="Verdana"/>
          <w:sz w:val="22"/>
          <w:szCs w:val="22"/>
        </w:rPr>
        <w:t>Zeidenberg's</w:t>
      </w:r>
      <w:proofErr w:type="spellEnd"/>
      <w:r w:rsidRPr="0090251D">
        <w:rPr>
          <w:rFonts w:ascii="Verdana" w:hAnsi="Verdana"/>
          <w:sz w:val="22"/>
          <w:szCs w:val="22"/>
        </w:rPr>
        <w:t xml:space="preserve"> position therefore must be that the printed terms on the outside of a box are the parties' contract--except for printed terms that refer to or incorporate other terms. But why would Wisconsin fetter the parties' choice in this way? Vendors can put the entire terms of a contract on the outside of a box only by using microscopic type, removing other information that buyers might find more useful (such as what the software does, and on which computers it works), or both. The "Read Me" file included with most software, describing system requirements and potential incompatibilities, may be equivalent to ten pages of type; warranties and license restrictions take still more space. Notice on the outside, terms on the inside, and a right to return the software for a refund if the terms are unacceptable (a right that the license expressly extends), may be a means of doing business valuable to buyers and sellers alike. See E. Allan Farnsworth, 1 </w:t>
      </w:r>
      <w:r w:rsidRPr="0090251D">
        <w:rPr>
          <w:rFonts w:ascii="Verdana" w:hAnsi="Verdana"/>
          <w:i/>
          <w:iCs/>
          <w:sz w:val="22"/>
          <w:szCs w:val="22"/>
        </w:rPr>
        <w:t>Farnsworth on Contracts</w:t>
      </w:r>
      <w:r w:rsidRPr="0090251D">
        <w:rPr>
          <w:rFonts w:ascii="Verdana" w:hAnsi="Verdana"/>
          <w:sz w:val="22"/>
          <w:szCs w:val="22"/>
        </w:rPr>
        <w:t xml:space="preserve"> </w:t>
      </w:r>
      <w:proofErr w:type="gramStart"/>
      <w:r w:rsidRPr="0090251D">
        <w:rPr>
          <w:rFonts w:ascii="Verdana" w:hAnsi="Verdana"/>
          <w:sz w:val="22"/>
          <w:szCs w:val="22"/>
        </w:rPr>
        <w:t>§  4.26</w:t>
      </w:r>
      <w:proofErr w:type="gramEnd"/>
      <w:r w:rsidRPr="0090251D">
        <w:rPr>
          <w:rFonts w:ascii="Verdana" w:hAnsi="Verdana"/>
          <w:sz w:val="22"/>
          <w:szCs w:val="22"/>
        </w:rPr>
        <w:t xml:space="preserve"> (1990); </w:t>
      </w:r>
      <w:r w:rsidRPr="0090251D">
        <w:rPr>
          <w:rFonts w:ascii="Verdana" w:hAnsi="Verdana"/>
          <w:i/>
          <w:iCs/>
          <w:sz w:val="22"/>
          <w:szCs w:val="22"/>
        </w:rPr>
        <w:t>Restatement (2d) of Contracts</w:t>
      </w:r>
      <w:r w:rsidRPr="0090251D">
        <w:rPr>
          <w:rFonts w:ascii="Verdana" w:hAnsi="Verdana"/>
          <w:sz w:val="22"/>
          <w:szCs w:val="22"/>
        </w:rPr>
        <w:t xml:space="preserve"> §  211 comment a (1981) ("Standardization of agreements serves many of the same functions as standardization of goods and services; both are essential to a system of mass production and distribution. Scarce and costly time and skill can be devoted to a class of transactions rather than the details of individual transactions."). Doubtless a state could forbid the use of standard contracts in the software business, but we do not think that Wisconsin has done so.</w:t>
      </w:r>
    </w:p>
    <w:p w14:paraId="0BA66332"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Transactions in which the exchange of money precedes the communication of detailed terms are common. Consider the purchase of insurance. The buyer goes to an agent, who explains the essentials (amount of coverage, number of years) and remits the premium to the home office, which sends back a policy. On the district judge's understanding, the terms of the policy are irrelevant because the insured paid before receiving them. Yet the device of payment, often with a "binder" (so </w:t>
      </w:r>
      <w:r w:rsidRPr="0090251D">
        <w:rPr>
          <w:rFonts w:ascii="Verdana" w:hAnsi="Verdana"/>
          <w:sz w:val="22"/>
          <w:szCs w:val="22"/>
        </w:rPr>
        <w:lastRenderedPageBreak/>
        <w:t xml:space="preserve">that the insurance takes effect immediately even though the home office reserves the right to withdraw coverage later), in advance of the policy, serves buyers' interests by accelerating effectiveness and reducing transactions costs. Or consider the purchase of an airline ticket. The traveler calls the carrier or an agent, is quoted a price, reserves a seat, pays, and gets a ticket, in that order. The ticket contains elaborate terms, which the traveler can reject by canceling the reservation. To use the ticket is to accept the terms, even terms that in retrospect are disadvantageous. See </w:t>
      </w:r>
      <w:r w:rsidRPr="0090251D">
        <w:rPr>
          <w:rFonts w:ascii="Verdana" w:hAnsi="Verdana"/>
          <w:i/>
          <w:iCs/>
          <w:sz w:val="22"/>
          <w:szCs w:val="22"/>
        </w:rPr>
        <w:t>Carnival Cruise Lines, Inc. v. Shute, 499 U.S. 585, 113 L. Ed. 2d 622, 111 S. Ct. 1522 (1991);</w:t>
      </w:r>
      <w:r w:rsidRPr="0090251D">
        <w:rPr>
          <w:rFonts w:ascii="Verdana" w:hAnsi="Verdana"/>
          <w:sz w:val="22"/>
          <w:szCs w:val="22"/>
        </w:rPr>
        <w:t xml:space="preserve"> see also </w:t>
      </w:r>
      <w:proofErr w:type="spellStart"/>
      <w:r w:rsidRPr="0090251D">
        <w:rPr>
          <w:rFonts w:ascii="Verdana" w:hAnsi="Verdana"/>
          <w:i/>
          <w:iCs/>
          <w:sz w:val="22"/>
          <w:szCs w:val="22"/>
        </w:rPr>
        <w:t>Vimar</w:t>
      </w:r>
      <w:proofErr w:type="spellEnd"/>
      <w:r w:rsidRPr="0090251D">
        <w:rPr>
          <w:rFonts w:ascii="Verdana" w:hAnsi="Verdana"/>
          <w:i/>
          <w:iCs/>
          <w:sz w:val="22"/>
          <w:szCs w:val="22"/>
        </w:rPr>
        <w:t xml:space="preserve"> </w:t>
      </w:r>
      <w:proofErr w:type="spellStart"/>
      <w:r w:rsidRPr="0090251D">
        <w:rPr>
          <w:rFonts w:ascii="Verdana" w:hAnsi="Verdana"/>
          <w:i/>
          <w:iCs/>
          <w:sz w:val="22"/>
          <w:szCs w:val="22"/>
        </w:rPr>
        <w:t>Seguros</w:t>
      </w:r>
      <w:proofErr w:type="spellEnd"/>
      <w:r w:rsidRPr="0090251D">
        <w:rPr>
          <w:rFonts w:ascii="Verdana" w:hAnsi="Verdana"/>
          <w:i/>
          <w:iCs/>
          <w:sz w:val="22"/>
          <w:szCs w:val="22"/>
        </w:rPr>
        <w:t xml:space="preserve"> y </w:t>
      </w:r>
      <w:proofErr w:type="spellStart"/>
      <w:r w:rsidRPr="0090251D">
        <w:rPr>
          <w:rFonts w:ascii="Verdana" w:hAnsi="Verdana"/>
          <w:i/>
          <w:iCs/>
          <w:sz w:val="22"/>
          <w:szCs w:val="22"/>
        </w:rPr>
        <w:t>Reaseguros</w:t>
      </w:r>
      <w:proofErr w:type="spellEnd"/>
      <w:r w:rsidRPr="0090251D">
        <w:rPr>
          <w:rFonts w:ascii="Verdana" w:hAnsi="Verdana"/>
          <w:i/>
          <w:iCs/>
          <w:sz w:val="22"/>
          <w:szCs w:val="22"/>
        </w:rPr>
        <w:t>, S.A. v. M/V Sky Reefer, 132 L. Ed. 2d 462, 115 S. Ct. 2322 (1995)</w:t>
      </w:r>
      <w:r w:rsidRPr="0090251D">
        <w:rPr>
          <w:rFonts w:ascii="Verdana" w:hAnsi="Verdana"/>
          <w:sz w:val="22"/>
          <w:szCs w:val="22"/>
        </w:rPr>
        <w:t xml:space="preserve"> (bills of lading). Just so with a ticket to a concert. The back of the ticket states that the patron promises not to record the concert; to attend is to agree. A theater that detects a violation will confiscate the tape and escort the violator to the exit. One </w:t>
      </w:r>
      <w:r w:rsidRPr="0090251D">
        <w:rPr>
          <w:rFonts w:ascii="Verdana" w:hAnsi="Verdana"/>
          <w:i/>
          <w:iCs/>
          <w:sz w:val="22"/>
          <w:szCs w:val="22"/>
        </w:rPr>
        <w:t>could</w:t>
      </w:r>
      <w:r w:rsidRPr="0090251D">
        <w:rPr>
          <w:rFonts w:ascii="Verdana" w:hAnsi="Verdana"/>
          <w:sz w:val="22"/>
          <w:szCs w:val="22"/>
        </w:rPr>
        <w:t xml:space="preserve"> arrange things so that every concertgoer </w:t>
      </w:r>
      <w:proofErr w:type="gramStart"/>
      <w:r w:rsidRPr="0090251D">
        <w:rPr>
          <w:rFonts w:ascii="Verdana" w:hAnsi="Verdana"/>
          <w:sz w:val="22"/>
          <w:szCs w:val="22"/>
        </w:rPr>
        <w:t>signs</w:t>
      </w:r>
      <w:proofErr w:type="gramEnd"/>
      <w:r w:rsidRPr="0090251D">
        <w:rPr>
          <w:rFonts w:ascii="Verdana" w:hAnsi="Verdana"/>
          <w:sz w:val="22"/>
          <w:szCs w:val="22"/>
        </w:rPr>
        <w:t xml:space="preserve"> this promise before forking over the money, but that cumbersome way of doing things not only would lengthen queues and raise prices but also would scotch the sale of tickets by phone or electronic data service.</w:t>
      </w:r>
    </w:p>
    <w:p w14:paraId="09382559"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Consumer goods work the same way. Someone who wants to buy a radio set visits a store, pays, and walks out with a box. Inside the box is a leaflet containing some terms, the most important of which usually is the warranty, read for the first time in the comfort of home. By </w:t>
      </w:r>
      <w:proofErr w:type="spellStart"/>
      <w:r w:rsidRPr="0090251D">
        <w:rPr>
          <w:rFonts w:ascii="Verdana" w:hAnsi="Verdana"/>
          <w:sz w:val="22"/>
          <w:szCs w:val="22"/>
        </w:rPr>
        <w:t>Zeidenberg's</w:t>
      </w:r>
      <w:proofErr w:type="spellEnd"/>
      <w:r w:rsidRPr="0090251D">
        <w:rPr>
          <w:rFonts w:ascii="Verdana" w:hAnsi="Verdana"/>
          <w:sz w:val="22"/>
          <w:szCs w:val="22"/>
        </w:rPr>
        <w:t xml:space="preserve"> lights, the warranty in the box is irrelevant; every consumer gets the standard warranty implied by the UCC in the event the contract is silent; yet so far as we are aware no state disregards warranties furnished with consumer products. Drugs come with a list of ingredients on the outside and an elaborate package insert on the inside. The package insert describes drug interactions, contraindications, and other vital information--but, if </w:t>
      </w:r>
      <w:proofErr w:type="spellStart"/>
      <w:r w:rsidRPr="0090251D">
        <w:rPr>
          <w:rFonts w:ascii="Verdana" w:hAnsi="Verdana"/>
          <w:sz w:val="22"/>
          <w:szCs w:val="22"/>
        </w:rPr>
        <w:t>Zeidenberg</w:t>
      </w:r>
      <w:proofErr w:type="spellEnd"/>
      <w:r w:rsidRPr="0090251D">
        <w:rPr>
          <w:rFonts w:ascii="Verdana" w:hAnsi="Verdana"/>
          <w:sz w:val="22"/>
          <w:szCs w:val="22"/>
        </w:rPr>
        <w:t xml:space="preserve"> is right, the purchaser need not read the package insert, because it is not part of the contract.</w:t>
      </w:r>
    </w:p>
    <w:p w14:paraId="49FD72F1"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Next consider the software industry itself. Only a minority of sales take place over the counter, where there are boxes to peruse. A customer pay place an order by phone in response to a line item in a catalog or a review in a magazine. Much software is ordered over the Internet by purchasers who have never seen a box. Increasingly software arrives by wire. There is no box; there is only a stream of electrons, a collection of information that includes data, an application program, instructions, many limitations ("</w:t>
      </w:r>
      <w:proofErr w:type="spellStart"/>
      <w:r w:rsidRPr="0090251D">
        <w:rPr>
          <w:rFonts w:ascii="Verdana" w:hAnsi="Verdana"/>
          <w:sz w:val="22"/>
          <w:szCs w:val="22"/>
        </w:rPr>
        <w:t>MegaPixel</w:t>
      </w:r>
      <w:proofErr w:type="spellEnd"/>
      <w:r w:rsidRPr="0090251D">
        <w:rPr>
          <w:rFonts w:ascii="Verdana" w:hAnsi="Verdana"/>
          <w:sz w:val="22"/>
          <w:szCs w:val="22"/>
        </w:rPr>
        <w:t xml:space="preserve"> 3.14159 cannot be used with Byte-Pusher 2.718"), and the terms of sale. The user purchases a serial number, which activates the software's features. On </w:t>
      </w:r>
      <w:proofErr w:type="spellStart"/>
      <w:r w:rsidRPr="0090251D">
        <w:rPr>
          <w:rFonts w:ascii="Verdana" w:hAnsi="Verdana"/>
          <w:sz w:val="22"/>
          <w:szCs w:val="22"/>
        </w:rPr>
        <w:t>Zeidenberg's</w:t>
      </w:r>
      <w:proofErr w:type="spellEnd"/>
      <w:r w:rsidRPr="0090251D">
        <w:rPr>
          <w:rFonts w:ascii="Verdana" w:hAnsi="Verdana"/>
          <w:sz w:val="22"/>
          <w:szCs w:val="22"/>
        </w:rPr>
        <w:t xml:space="preserve"> arguments, these unboxed sales are unfettered by terms--so the seller has made a broad warranty and must pay consequential damages for any shortfalls in performance, two "promises" that if taken seriously would drive prices through the ceiling or return transactions to the horse-and-buggy age.</w:t>
      </w:r>
    </w:p>
    <w:p w14:paraId="1B2F5674"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According to the district court, the UCC does not countenance the sequence of money now, terms later. (Wisconsin's version of the UCC does not differ from the Official Version in any material respect, so we use the regular numbering system. Wis. Stat. </w:t>
      </w:r>
      <w:proofErr w:type="gramStart"/>
      <w:r w:rsidRPr="0090251D">
        <w:rPr>
          <w:rFonts w:ascii="Verdana" w:hAnsi="Verdana"/>
          <w:sz w:val="22"/>
          <w:szCs w:val="22"/>
        </w:rPr>
        <w:t>§  402.201</w:t>
      </w:r>
      <w:proofErr w:type="gramEnd"/>
      <w:r w:rsidRPr="0090251D">
        <w:rPr>
          <w:rFonts w:ascii="Verdana" w:hAnsi="Verdana"/>
          <w:sz w:val="22"/>
          <w:szCs w:val="22"/>
        </w:rPr>
        <w:t xml:space="preserve"> corresponds to UCC §  2-201, and other citations are easy to derive.) One of the court's reasons--that by proposing as part of the draft Article 2B a new UCC </w:t>
      </w:r>
      <w:proofErr w:type="gramStart"/>
      <w:r w:rsidRPr="0090251D">
        <w:rPr>
          <w:rFonts w:ascii="Verdana" w:hAnsi="Verdana"/>
          <w:sz w:val="22"/>
          <w:szCs w:val="22"/>
        </w:rPr>
        <w:t>§  2</w:t>
      </w:r>
      <w:proofErr w:type="gramEnd"/>
      <w:r w:rsidRPr="0090251D">
        <w:rPr>
          <w:rFonts w:ascii="Verdana" w:hAnsi="Verdana"/>
          <w:sz w:val="22"/>
          <w:szCs w:val="22"/>
        </w:rPr>
        <w:t xml:space="preserve">-2203 that would explicitly validate standard-form user licenses, the American Law Institute and the National Conference of Commissioners on Uniform </w:t>
      </w:r>
      <w:r w:rsidRPr="0090251D">
        <w:rPr>
          <w:rFonts w:ascii="Verdana" w:hAnsi="Verdana"/>
          <w:sz w:val="22"/>
          <w:szCs w:val="22"/>
        </w:rPr>
        <w:lastRenderedPageBreak/>
        <w:t xml:space="preserve">Laws have conceded the invalidity of </w:t>
      </w:r>
      <w:proofErr w:type="spellStart"/>
      <w:r w:rsidRPr="0090251D">
        <w:rPr>
          <w:rFonts w:ascii="Verdana" w:hAnsi="Verdana"/>
          <w:sz w:val="22"/>
          <w:szCs w:val="22"/>
        </w:rPr>
        <w:t>shrinkwrap</w:t>
      </w:r>
      <w:proofErr w:type="spellEnd"/>
      <w:r w:rsidRPr="0090251D">
        <w:rPr>
          <w:rFonts w:ascii="Verdana" w:hAnsi="Verdana"/>
          <w:sz w:val="22"/>
          <w:szCs w:val="22"/>
        </w:rPr>
        <w:t xml:space="preserve"> licenses under current law, see </w:t>
      </w:r>
      <w:r w:rsidRPr="0090251D">
        <w:rPr>
          <w:rFonts w:ascii="Verdana" w:hAnsi="Verdana"/>
          <w:i/>
          <w:iCs/>
          <w:sz w:val="22"/>
          <w:szCs w:val="22"/>
        </w:rPr>
        <w:t>908 F. Supp. at 655-66</w:t>
      </w:r>
      <w:r w:rsidRPr="0090251D">
        <w:rPr>
          <w:rFonts w:ascii="Verdana" w:hAnsi="Verdana"/>
          <w:sz w:val="22"/>
          <w:szCs w:val="22"/>
        </w:rPr>
        <w:t xml:space="preserve">--depends on a faulty inference. To propose a change in a law's </w:t>
      </w:r>
      <w:r w:rsidRPr="0090251D">
        <w:rPr>
          <w:rFonts w:ascii="Verdana" w:hAnsi="Verdana"/>
          <w:i/>
          <w:iCs/>
          <w:sz w:val="22"/>
          <w:szCs w:val="22"/>
        </w:rPr>
        <w:t>text</w:t>
      </w:r>
      <w:r w:rsidRPr="0090251D">
        <w:rPr>
          <w:rFonts w:ascii="Verdana" w:hAnsi="Verdana"/>
          <w:sz w:val="22"/>
          <w:szCs w:val="22"/>
        </w:rPr>
        <w:t xml:space="preserve"> is not necessarily to propose a change in the law's </w:t>
      </w:r>
      <w:r w:rsidRPr="0090251D">
        <w:rPr>
          <w:rFonts w:ascii="Verdana" w:hAnsi="Verdana"/>
          <w:i/>
          <w:iCs/>
          <w:sz w:val="22"/>
          <w:szCs w:val="22"/>
        </w:rPr>
        <w:t>effect</w:t>
      </w:r>
      <w:r w:rsidRPr="0090251D">
        <w:rPr>
          <w:rFonts w:ascii="Verdana" w:hAnsi="Verdana"/>
          <w:sz w:val="22"/>
          <w:szCs w:val="22"/>
        </w:rPr>
        <w:t xml:space="preserve">. New words may be designed to fortify the current rule with a more precise text that curtails uncertainty. To judge by the flux of law review articles discussing </w:t>
      </w:r>
      <w:proofErr w:type="spellStart"/>
      <w:r w:rsidRPr="0090251D">
        <w:rPr>
          <w:rFonts w:ascii="Verdana" w:hAnsi="Verdana"/>
          <w:sz w:val="22"/>
          <w:szCs w:val="22"/>
        </w:rPr>
        <w:t>shrinkwrap</w:t>
      </w:r>
      <w:proofErr w:type="spellEnd"/>
      <w:r w:rsidRPr="0090251D">
        <w:rPr>
          <w:rFonts w:ascii="Verdana" w:hAnsi="Verdana"/>
          <w:sz w:val="22"/>
          <w:szCs w:val="22"/>
        </w:rPr>
        <w:t xml:space="preserve"> licenses, uncertainty is much in need of reduction--although businesses seem to feel less uncertainty than do scholars, for only three cases (other than ours) touch on the subject, and none directly addresses it. See </w:t>
      </w:r>
      <w:r w:rsidRPr="0090251D">
        <w:rPr>
          <w:rFonts w:ascii="Verdana" w:hAnsi="Verdana"/>
          <w:i/>
          <w:iCs/>
          <w:sz w:val="22"/>
          <w:szCs w:val="22"/>
        </w:rPr>
        <w:t>Step-Saver Data Systems, Inc. v. Wyse Technology, 939 F.2d 91 (3d Cir. 1991);</w:t>
      </w:r>
      <w:r w:rsidRPr="0090251D">
        <w:rPr>
          <w:rFonts w:ascii="Verdana" w:hAnsi="Verdana"/>
          <w:sz w:val="22"/>
          <w:szCs w:val="22"/>
        </w:rPr>
        <w:t xml:space="preserve"> </w:t>
      </w:r>
      <w:r w:rsidRPr="0090251D">
        <w:rPr>
          <w:rFonts w:ascii="Verdana" w:hAnsi="Verdana"/>
          <w:i/>
          <w:iCs/>
          <w:sz w:val="22"/>
          <w:szCs w:val="22"/>
        </w:rPr>
        <w:t>Vault Corp. v. Quaid Software Ltd., 847 F.2d 255, 268-70 (5th Cir. 1988);</w:t>
      </w:r>
      <w:r w:rsidRPr="0090251D">
        <w:rPr>
          <w:rFonts w:ascii="Verdana" w:hAnsi="Verdana"/>
          <w:sz w:val="22"/>
          <w:szCs w:val="22"/>
        </w:rPr>
        <w:t xml:space="preserve"> </w:t>
      </w:r>
      <w:r w:rsidRPr="0090251D">
        <w:rPr>
          <w:rFonts w:ascii="Verdana" w:hAnsi="Verdana"/>
          <w:i/>
          <w:iCs/>
          <w:sz w:val="22"/>
          <w:szCs w:val="22"/>
        </w:rPr>
        <w:t>Arizona Retail Systems, Inc. v. Software Link, Inc., 831 F. Supp. 759 (D. Ariz. 1993).</w:t>
      </w:r>
      <w:r w:rsidRPr="0090251D">
        <w:rPr>
          <w:rFonts w:ascii="Verdana" w:hAnsi="Verdana"/>
          <w:sz w:val="22"/>
          <w:szCs w:val="22"/>
        </w:rPr>
        <w:t xml:space="preserve"> As their titles suggest, these are not consumer transactions. </w:t>
      </w:r>
      <w:r w:rsidRPr="0090251D">
        <w:rPr>
          <w:rFonts w:ascii="Verdana" w:hAnsi="Verdana"/>
          <w:i/>
          <w:iCs/>
          <w:sz w:val="22"/>
          <w:szCs w:val="22"/>
        </w:rPr>
        <w:t>Step-Saver</w:t>
      </w:r>
      <w:r w:rsidRPr="0090251D">
        <w:rPr>
          <w:rFonts w:ascii="Verdana" w:hAnsi="Verdana"/>
          <w:sz w:val="22"/>
          <w:szCs w:val="22"/>
        </w:rPr>
        <w:t xml:space="preserve"> is a battle-of-the-forms case, in which the parties exchange incompatible forms and a court must decide which prevails. See </w:t>
      </w:r>
      <w:r w:rsidRPr="0090251D">
        <w:rPr>
          <w:rFonts w:ascii="Verdana" w:hAnsi="Verdana"/>
          <w:i/>
          <w:iCs/>
          <w:sz w:val="22"/>
          <w:szCs w:val="22"/>
        </w:rPr>
        <w:t xml:space="preserve">Northrop Corp. v. </w:t>
      </w:r>
      <w:proofErr w:type="spellStart"/>
      <w:r w:rsidRPr="0090251D">
        <w:rPr>
          <w:rFonts w:ascii="Verdana" w:hAnsi="Verdana"/>
          <w:i/>
          <w:iCs/>
          <w:sz w:val="22"/>
          <w:szCs w:val="22"/>
        </w:rPr>
        <w:t>Litronic</w:t>
      </w:r>
      <w:proofErr w:type="spellEnd"/>
      <w:r w:rsidRPr="0090251D">
        <w:rPr>
          <w:rFonts w:ascii="Verdana" w:hAnsi="Verdana"/>
          <w:i/>
          <w:iCs/>
          <w:sz w:val="22"/>
          <w:szCs w:val="22"/>
        </w:rPr>
        <w:t xml:space="preserve"> Industries, 29 F.3d 1173 (7th Cir. 1994)</w:t>
      </w:r>
      <w:r w:rsidRPr="0090251D">
        <w:rPr>
          <w:rFonts w:ascii="Verdana" w:hAnsi="Verdana"/>
          <w:sz w:val="22"/>
          <w:szCs w:val="22"/>
        </w:rPr>
        <w:t xml:space="preserve"> (Illinois law); Douglas G. Baird &amp; Robert Weisberg, </w:t>
      </w:r>
      <w:r w:rsidRPr="0090251D">
        <w:rPr>
          <w:rFonts w:ascii="Verdana" w:hAnsi="Verdana"/>
          <w:i/>
          <w:iCs/>
          <w:sz w:val="22"/>
          <w:szCs w:val="22"/>
        </w:rPr>
        <w:t>Rules, Standards, and the Battle of the Forms: A Reassessment</w:t>
      </w:r>
      <w:r w:rsidRPr="0090251D">
        <w:rPr>
          <w:rFonts w:ascii="Verdana" w:hAnsi="Verdana"/>
          <w:sz w:val="22"/>
          <w:szCs w:val="22"/>
        </w:rPr>
        <w:t xml:space="preserve"> of </w:t>
      </w:r>
      <w:proofErr w:type="gramStart"/>
      <w:r w:rsidRPr="0090251D">
        <w:rPr>
          <w:rFonts w:ascii="Verdana" w:hAnsi="Verdana"/>
          <w:sz w:val="22"/>
          <w:szCs w:val="22"/>
        </w:rPr>
        <w:t>§  2</w:t>
      </w:r>
      <w:proofErr w:type="gramEnd"/>
      <w:r w:rsidRPr="0090251D">
        <w:rPr>
          <w:rFonts w:ascii="Verdana" w:hAnsi="Verdana"/>
          <w:sz w:val="22"/>
          <w:szCs w:val="22"/>
        </w:rPr>
        <w:t xml:space="preserve">-207, </w:t>
      </w:r>
      <w:r w:rsidRPr="0090251D">
        <w:rPr>
          <w:rFonts w:ascii="Verdana" w:hAnsi="Verdana"/>
          <w:i/>
          <w:iCs/>
          <w:sz w:val="22"/>
          <w:szCs w:val="22"/>
        </w:rPr>
        <w:t>68 Va. L. Rev. 1217, 1227-31 (1982).</w:t>
      </w:r>
      <w:r w:rsidRPr="0090251D">
        <w:rPr>
          <w:rFonts w:ascii="Verdana" w:hAnsi="Verdana"/>
          <w:sz w:val="22"/>
          <w:szCs w:val="22"/>
        </w:rPr>
        <w:t xml:space="preserve"> Our case has only one form; UCC </w:t>
      </w:r>
      <w:proofErr w:type="gramStart"/>
      <w:r w:rsidRPr="0090251D">
        <w:rPr>
          <w:rFonts w:ascii="Verdana" w:hAnsi="Verdana"/>
          <w:sz w:val="22"/>
          <w:szCs w:val="22"/>
        </w:rPr>
        <w:t>§  2</w:t>
      </w:r>
      <w:proofErr w:type="gramEnd"/>
      <w:r w:rsidRPr="0090251D">
        <w:rPr>
          <w:rFonts w:ascii="Verdana" w:hAnsi="Verdana"/>
          <w:sz w:val="22"/>
          <w:szCs w:val="22"/>
        </w:rPr>
        <w:t xml:space="preserve">-207 is irrelevant. </w:t>
      </w:r>
      <w:r w:rsidRPr="0090251D">
        <w:rPr>
          <w:rFonts w:ascii="Verdana" w:hAnsi="Verdana"/>
          <w:i/>
          <w:iCs/>
          <w:sz w:val="22"/>
          <w:szCs w:val="22"/>
        </w:rPr>
        <w:t>Vault</w:t>
      </w:r>
      <w:r w:rsidRPr="0090251D">
        <w:rPr>
          <w:rFonts w:ascii="Verdana" w:hAnsi="Verdana"/>
          <w:sz w:val="22"/>
          <w:szCs w:val="22"/>
        </w:rPr>
        <w:t xml:space="preserve"> holds that Louisiana's special </w:t>
      </w:r>
      <w:proofErr w:type="spellStart"/>
      <w:r w:rsidRPr="0090251D">
        <w:rPr>
          <w:rFonts w:ascii="Verdana" w:hAnsi="Verdana"/>
          <w:sz w:val="22"/>
          <w:szCs w:val="22"/>
        </w:rPr>
        <w:t>shrinkwrap</w:t>
      </w:r>
      <w:proofErr w:type="spellEnd"/>
      <w:r w:rsidRPr="0090251D">
        <w:rPr>
          <w:rFonts w:ascii="Verdana" w:hAnsi="Verdana"/>
          <w:sz w:val="22"/>
          <w:szCs w:val="22"/>
        </w:rPr>
        <w:t xml:space="preserve">-license statute is preempted by federal law, a question to which we return. And </w:t>
      </w:r>
      <w:r w:rsidRPr="0090251D">
        <w:rPr>
          <w:rFonts w:ascii="Verdana" w:hAnsi="Verdana"/>
          <w:i/>
          <w:iCs/>
          <w:sz w:val="22"/>
          <w:szCs w:val="22"/>
        </w:rPr>
        <w:t>Arizona Retail Systems</w:t>
      </w:r>
      <w:r w:rsidRPr="0090251D">
        <w:rPr>
          <w:rFonts w:ascii="Verdana" w:hAnsi="Verdana"/>
          <w:sz w:val="22"/>
          <w:szCs w:val="22"/>
        </w:rPr>
        <w:t xml:space="preserve"> did not reach the question, because the court found that the buyer knew the terms of the license before purchasing the software.</w:t>
      </w:r>
    </w:p>
    <w:p w14:paraId="02145DE3"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What then does the current version of the UCC have to say? We think that the place to start is § 2-204(1): "A contract for sale of goods may be made in any manner sufficient to show agreement, including conduct by both parties which recognizes the existence of such a contract." A vendor, as master of the offer, may invite acceptance by conduct, and may propose limitations on the kind of conduct that constitutes acceptance. A buyer may accept by performing the acts the vendor proposes to treat as acceptance. And that is what happened. </w:t>
      </w:r>
      <w:proofErr w:type="spellStart"/>
      <w:r w:rsidRPr="0090251D">
        <w:rPr>
          <w:rFonts w:ascii="Verdana" w:hAnsi="Verdana"/>
          <w:sz w:val="22"/>
          <w:szCs w:val="22"/>
        </w:rPr>
        <w:t>ProCD</w:t>
      </w:r>
      <w:proofErr w:type="spellEnd"/>
      <w:r w:rsidRPr="0090251D">
        <w:rPr>
          <w:rFonts w:ascii="Verdana" w:hAnsi="Verdana"/>
          <w:sz w:val="22"/>
          <w:szCs w:val="22"/>
        </w:rPr>
        <w:t xml:space="preserve"> proposed a contract that a buyer would accept by </w:t>
      </w:r>
      <w:r w:rsidRPr="0090251D">
        <w:rPr>
          <w:rFonts w:ascii="Verdana" w:hAnsi="Verdana"/>
          <w:i/>
          <w:iCs/>
          <w:sz w:val="22"/>
          <w:szCs w:val="22"/>
        </w:rPr>
        <w:t>using</w:t>
      </w:r>
      <w:r w:rsidRPr="0090251D">
        <w:rPr>
          <w:rFonts w:ascii="Verdana" w:hAnsi="Verdana"/>
          <w:sz w:val="22"/>
          <w:szCs w:val="22"/>
        </w:rPr>
        <w:t xml:space="preserve"> the software after having an opportunity to read the license at leisure. This </w:t>
      </w:r>
      <w:proofErr w:type="spellStart"/>
      <w:r w:rsidRPr="0090251D">
        <w:rPr>
          <w:rFonts w:ascii="Verdana" w:hAnsi="Verdana"/>
          <w:sz w:val="22"/>
          <w:szCs w:val="22"/>
        </w:rPr>
        <w:t>Zeidenberg</w:t>
      </w:r>
      <w:proofErr w:type="spellEnd"/>
      <w:r w:rsidRPr="0090251D">
        <w:rPr>
          <w:rFonts w:ascii="Verdana" w:hAnsi="Verdana"/>
          <w:sz w:val="22"/>
          <w:szCs w:val="22"/>
        </w:rPr>
        <w:t xml:space="preserve"> did. He had no choice, because the software splashed the license on the screen and would not let him proceed without indicating acceptance. </w:t>
      </w:r>
      <w:proofErr w:type="gramStart"/>
      <w:r w:rsidRPr="0090251D">
        <w:rPr>
          <w:rFonts w:ascii="Verdana" w:hAnsi="Verdana"/>
          <w:sz w:val="22"/>
          <w:szCs w:val="22"/>
        </w:rPr>
        <w:t>So</w:t>
      </w:r>
      <w:proofErr w:type="gramEnd"/>
      <w:r w:rsidRPr="0090251D">
        <w:rPr>
          <w:rFonts w:ascii="Verdana" w:hAnsi="Verdana"/>
          <w:sz w:val="22"/>
          <w:szCs w:val="22"/>
        </w:rPr>
        <w:t xml:space="preserve"> although the district judge was right to say that a contract can be, and often is, formed simply by paying the price and walking out of the store, the UCC permits contracts to be formed in other ways. </w:t>
      </w:r>
      <w:proofErr w:type="spellStart"/>
      <w:r w:rsidRPr="0090251D">
        <w:rPr>
          <w:rFonts w:ascii="Verdana" w:hAnsi="Verdana"/>
          <w:sz w:val="22"/>
          <w:szCs w:val="22"/>
        </w:rPr>
        <w:t>ProCD</w:t>
      </w:r>
      <w:proofErr w:type="spellEnd"/>
      <w:r w:rsidRPr="0090251D">
        <w:rPr>
          <w:rFonts w:ascii="Verdana" w:hAnsi="Verdana"/>
          <w:sz w:val="22"/>
          <w:szCs w:val="22"/>
        </w:rPr>
        <w:t xml:space="preserve"> proposed such a different way, and without protest </w:t>
      </w:r>
      <w:proofErr w:type="spellStart"/>
      <w:r w:rsidRPr="0090251D">
        <w:rPr>
          <w:rFonts w:ascii="Verdana" w:hAnsi="Verdana"/>
          <w:sz w:val="22"/>
          <w:szCs w:val="22"/>
        </w:rPr>
        <w:t>Zeidenberg</w:t>
      </w:r>
      <w:proofErr w:type="spellEnd"/>
      <w:r w:rsidRPr="0090251D">
        <w:rPr>
          <w:rFonts w:ascii="Verdana" w:hAnsi="Verdana"/>
          <w:sz w:val="22"/>
          <w:szCs w:val="22"/>
        </w:rPr>
        <w:t xml:space="preserve"> agreed. Ours is not a case in which a consumer opens a package to find an insert saying "you owe us an extra $ 10,000" and the seller files suit to collect. Any buyer finding such a demand can prevent formation of the contract by returning the package, as can any consumer who concludes that the terms of the license make the software worth less than the purchase price. Nothing in the UCC requires a seller to maximize the buyer's net gains.</w:t>
      </w:r>
    </w:p>
    <w:p w14:paraId="6262745A"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Section 2-606, which defines "acceptance of goods", reinforces this understanding. A buyer accepts goods under § 2-606(1)(b) when, after an opportunity to inspect, he fails to make an effective rejection under </w:t>
      </w:r>
      <w:proofErr w:type="gramStart"/>
      <w:r w:rsidRPr="0090251D">
        <w:rPr>
          <w:rFonts w:ascii="Verdana" w:hAnsi="Verdana"/>
          <w:sz w:val="22"/>
          <w:szCs w:val="22"/>
        </w:rPr>
        <w:t>§  2</w:t>
      </w:r>
      <w:proofErr w:type="gramEnd"/>
      <w:r w:rsidRPr="0090251D">
        <w:rPr>
          <w:rFonts w:ascii="Verdana" w:hAnsi="Verdana"/>
          <w:sz w:val="22"/>
          <w:szCs w:val="22"/>
        </w:rPr>
        <w:t xml:space="preserve">-602(1). </w:t>
      </w:r>
      <w:proofErr w:type="spellStart"/>
      <w:r w:rsidRPr="0090251D">
        <w:rPr>
          <w:rFonts w:ascii="Verdana" w:hAnsi="Verdana"/>
          <w:sz w:val="22"/>
          <w:szCs w:val="22"/>
        </w:rPr>
        <w:t>ProCD</w:t>
      </w:r>
      <w:proofErr w:type="spellEnd"/>
      <w:r w:rsidRPr="0090251D">
        <w:rPr>
          <w:rFonts w:ascii="Verdana" w:hAnsi="Verdana"/>
          <w:sz w:val="22"/>
          <w:szCs w:val="22"/>
        </w:rPr>
        <w:t xml:space="preserve"> extended an opportunity to reject if a buyer should find the license terms unsatisfactory; </w:t>
      </w:r>
      <w:proofErr w:type="spellStart"/>
      <w:r w:rsidRPr="0090251D">
        <w:rPr>
          <w:rFonts w:ascii="Verdana" w:hAnsi="Verdana"/>
          <w:sz w:val="22"/>
          <w:szCs w:val="22"/>
        </w:rPr>
        <w:t>Zeidenberg</w:t>
      </w:r>
      <w:proofErr w:type="spellEnd"/>
      <w:r w:rsidRPr="0090251D">
        <w:rPr>
          <w:rFonts w:ascii="Verdana" w:hAnsi="Verdana"/>
          <w:sz w:val="22"/>
          <w:szCs w:val="22"/>
        </w:rPr>
        <w:t xml:space="preserve"> inspected the package, tried out the software, learned of the license, and did not reject the goods. We refer to §  2-606 only to show that the </w:t>
      </w:r>
      <w:r w:rsidRPr="0090251D">
        <w:rPr>
          <w:rFonts w:ascii="Verdana" w:hAnsi="Verdana"/>
          <w:sz w:val="22"/>
          <w:szCs w:val="22"/>
        </w:rPr>
        <w:lastRenderedPageBreak/>
        <w:t xml:space="preserve">opportunity to return goods can be important; acceptance of an offer differs from acceptance of goods after delivery, see </w:t>
      </w:r>
      <w:r w:rsidRPr="0090251D">
        <w:rPr>
          <w:rFonts w:ascii="Verdana" w:hAnsi="Verdana"/>
          <w:i/>
          <w:iCs/>
          <w:sz w:val="22"/>
          <w:szCs w:val="22"/>
        </w:rPr>
        <w:t xml:space="preserve">Gillen v. </w:t>
      </w:r>
      <w:proofErr w:type="spellStart"/>
      <w:r w:rsidRPr="0090251D">
        <w:rPr>
          <w:rFonts w:ascii="Verdana" w:hAnsi="Verdana"/>
          <w:i/>
          <w:iCs/>
          <w:sz w:val="22"/>
          <w:szCs w:val="22"/>
        </w:rPr>
        <w:t>Atalanta</w:t>
      </w:r>
      <w:proofErr w:type="spellEnd"/>
      <w:r w:rsidRPr="0090251D">
        <w:rPr>
          <w:rFonts w:ascii="Verdana" w:hAnsi="Verdana"/>
          <w:i/>
          <w:iCs/>
          <w:sz w:val="22"/>
          <w:szCs w:val="22"/>
        </w:rPr>
        <w:t xml:space="preserve"> Systems, Inc., 997 F.2d 280, 284 n.1 (7th Cir. 1993);</w:t>
      </w:r>
      <w:r w:rsidRPr="0090251D">
        <w:rPr>
          <w:rFonts w:ascii="Verdana" w:hAnsi="Verdana"/>
          <w:sz w:val="22"/>
          <w:szCs w:val="22"/>
        </w:rPr>
        <w:t xml:space="preserve"> but the UCC consistently permits the parties to structure their relations so that the buyer has a chance to make a final decision after a detailed review.</w:t>
      </w:r>
    </w:p>
    <w:p w14:paraId="761684F3"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Some portions of the UCC impose additional requirements on the way parties agree on terms. A disclaimer of the implied warranty of merchantability must be "conspicuous." UCC </w:t>
      </w:r>
      <w:proofErr w:type="gramStart"/>
      <w:r w:rsidRPr="0090251D">
        <w:rPr>
          <w:rFonts w:ascii="Verdana" w:hAnsi="Verdana"/>
          <w:sz w:val="22"/>
          <w:szCs w:val="22"/>
        </w:rPr>
        <w:t>§  2</w:t>
      </w:r>
      <w:proofErr w:type="gramEnd"/>
      <w:r w:rsidRPr="0090251D">
        <w:rPr>
          <w:rFonts w:ascii="Verdana" w:hAnsi="Verdana"/>
          <w:sz w:val="22"/>
          <w:szCs w:val="22"/>
        </w:rPr>
        <w:t xml:space="preserve">-316(2), incorporating UCC §  1-201(10). Promises to make firm offers, or to negate oral modifications, must be "separately signed." UCC § </w:t>
      </w:r>
      <w:proofErr w:type="gramStart"/>
      <w:r w:rsidRPr="0090251D">
        <w:rPr>
          <w:rFonts w:ascii="Verdana" w:hAnsi="Verdana"/>
          <w:sz w:val="22"/>
          <w:szCs w:val="22"/>
        </w:rPr>
        <w:t>§  2</w:t>
      </w:r>
      <w:proofErr w:type="gramEnd"/>
      <w:r w:rsidRPr="0090251D">
        <w:rPr>
          <w:rFonts w:ascii="Verdana" w:hAnsi="Verdana"/>
          <w:sz w:val="22"/>
          <w:szCs w:val="22"/>
        </w:rPr>
        <w:t xml:space="preserve">-205, 2-209(2). These special provisos reinforce the impression that, so far as the UCC is concerned, other terms may be as inconspicuous as the forum-selection clause on the back of the cruise ship ticket in </w:t>
      </w:r>
      <w:r w:rsidRPr="0090251D">
        <w:rPr>
          <w:rFonts w:ascii="Verdana" w:hAnsi="Verdana"/>
          <w:i/>
          <w:iCs/>
          <w:sz w:val="22"/>
          <w:szCs w:val="22"/>
        </w:rPr>
        <w:t>Carnival Lines.</w:t>
      </w:r>
      <w:r w:rsidRPr="0090251D">
        <w:rPr>
          <w:rFonts w:ascii="Verdana" w:hAnsi="Verdana"/>
          <w:sz w:val="22"/>
          <w:szCs w:val="22"/>
        </w:rPr>
        <w:t xml:space="preserve"> </w:t>
      </w:r>
      <w:proofErr w:type="spellStart"/>
      <w:r w:rsidRPr="0090251D">
        <w:rPr>
          <w:rFonts w:ascii="Verdana" w:hAnsi="Verdana"/>
          <w:sz w:val="22"/>
          <w:szCs w:val="22"/>
        </w:rPr>
        <w:t>Zeidenberg</w:t>
      </w:r>
      <w:proofErr w:type="spellEnd"/>
      <w:r w:rsidRPr="0090251D">
        <w:rPr>
          <w:rFonts w:ascii="Verdana" w:hAnsi="Verdana"/>
          <w:sz w:val="22"/>
          <w:szCs w:val="22"/>
        </w:rPr>
        <w:t xml:space="preserve"> has not located any Wisconsin case--for that matter, any case in any state--holding that under the UCC the ordinary terms found in </w:t>
      </w:r>
      <w:proofErr w:type="spellStart"/>
      <w:r w:rsidRPr="0090251D">
        <w:rPr>
          <w:rFonts w:ascii="Verdana" w:hAnsi="Verdana"/>
          <w:sz w:val="22"/>
          <w:szCs w:val="22"/>
        </w:rPr>
        <w:t>shrinkwrap</w:t>
      </w:r>
      <w:proofErr w:type="spellEnd"/>
      <w:r w:rsidRPr="0090251D">
        <w:rPr>
          <w:rFonts w:ascii="Verdana" w:hAnsi="Verdana"/>
          <w:sz w:val="22"/>
          <w:szCs w:val="22"/>
        </w:rPr>
        <w:t xml:space="preserve"> licenses require any special prominence, or otherwise are to be undercut rather than enforced. In the end, the terms of the license are conceptually identical to the contents of the package. Just as no court would dream of saying that </w:t>
      </w:r>
      <w:proofErr w:type="spellStart"/>
      <w:r w:rsidRPr="0090251D">
        <w:rPr>
          <w:rFonts w:ascii="Verdana" w:hAnsi="Verdana"/>
          <w:sz w:val="22"/>
          <w:szCs w:val="22"/>
        </w:rPr>
        <w:t>SelectPhone</w:t>
      </w:r>
      <w:proofErr w:type="spellEnd"/>
      <w:r w:rsidRPr="0090251D">
        <w:rPr>
          <w:rFonts w:ascii="Verdana" w:hAnsi="Verdana"/>
          <w:sz w:val="22"/>
          <w:szCs w:val="22"/>
        </w:rPr>
        <w:t xml:space="preserve"> (trademark) must contain 3,100 phone books rather than 3,000, or must have data no more than 30 days old, or must sell for $ 100 rather than $ 150--although any of these changes would be welcomed by the customer, if all other things were held constant--so, we believe, Wisconsin would not let the buyer pick and choose among terms. Terms of use are no less a part of "the product" than are the size of the database and the speed with which the software compiles listings. Competition among vendors, not judicial revision of a package's contents, is how consumers are protected in a market economy.  </w:t>
      </w:r>
      <w:r w:rsidRPr="0090251D">
        <w:rPr>
          <w:rFonts w:ascii="Verdana" w:hAnsi="Verdana"/>
          <w:i/>
          <w:iCs/>
          <w:sz w:val="22"/>
          <w:szCs w:val="22"/>
        </w:rPr>
        <w:t xml:space="preserve">Digital Equipment Corp. v. </w:t>
      </w:r>
      <w:proofErr w:type="spellStart"/>
      <w:r w:rsidRPr="0090251D">
        <w:rPr>
          <w:rFonts w:ascii="Verdana" w:hAnsi="Verdana"/>
          <w:i/>
          <w:iCs/>
          <w:sz w:val="22"/>
          <w:szCs w:val="22"/>
        </w:rPr>
        <w:t>Uniq</w:t>
      </w:r>
      <w:proofErr w:type="spellEnd"/>
      <w:r w:rsidRPr="0090251D">
        <w:rPr>
          <w:rFonts w:ascii="Verdana" w:hAnsi="Verdana"/>
          <w:i/>
          <w:iCs/>
          <w:sz w:val="22"/>
          <w:szCs w:val="22"/>
        </w:rPr>
        <w:t xml:space="preserve"> Digital Technologies, Inc., 73 F.3d 756 (7th Cir. 1996).</w:t>
      </w:r>
      <w:r w:rsidRPr="0090251D">
        <w:rPr>
          <w:rFonts w:ascii="Verdana" w:hAnsi="Verdana"/>
          <w:sz w:val="22"/>
          <w:szCs w:val="22"/>
        </w:rPr>
        <w:t xml:space="preserve"> </w:t>
      </w:r>
      <w:proofErr w:type="spellStart"/>
      <w:r w:rsidRPr="0090251D">
        <w:rPr>
          <w:rFonts w:ascii="Verdana" w:hAnsi="Verdana"/>
          <w:sz w:val="22"/>
          <w:szCs w:val="22"/>
        </w:rPr>
        <w:t>ProCD</w:t>
      </w:r>
      <w:proofErr w:type="spellEnd"/>
      <w:r w:rsidRPr="0090251D">
        <w:rPr>
          <w:rFonts w:ascii="Verdana" w:hAnsi="Verdana"/>
          <w:sz w:val="22"/>
          <w:szCs w:val="22"/>
        </w:rPr>
        <w:t xml:space="preserve"> has rivals, which may elect to compete by offering superior software, monthly updates, improved terms of use, lower price, or a better compromise among these elements. As we stressed above, adjusting terms in buyers' favor might help Matthew </w:t>
      </w:r>
      <w:proofErr w:type="spellStart"/>
      <w:r w:rsidRPr="0090251D">
        <w:rPr>
          <w:rFonts w:ascii="Verdana" w:hAnsi="Verdana"/>
          <w:sz w:val="22"/>
          <w:szCs w:val="22"/>
        </w:rPr>
        <w:t>Zeidenberg</w:t>
      </w:r>
      <w:proofErr w:type="spellEnd"/>
      <w:r w:rsidRPr="0090251D">
        <w:rPr>
          <w:rFonts w:ascii="Verdana" w:hAnsi="Verdana"/>
          <w:sz w:val="22"/>
          <w:szCs w:val="22"/>
        </w:rPr>
        <w:t xml:space="preserve"> today (he already has the software) but would lead to a response, such as a higher price, that might make consumers as a whole worse off. . . </w:t>
      </w:r>
    </w:p>
    <w:p w14:paraId="58F75078"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 </w:t>
      </w:r>
    </w:p>
    <w:p w14:paraId="22D6DE8B" w14:textId="77777777" w:rsidR="00C64AAF" w:rsidRPr="0090251D" w:rsidRDefault="00C64AAF" w:rsidP="00C64AAF">
      <w:pPr>
        <w:autoSpaceDE w:val="0"/>
        <w:autoSpaceDN w:val="0"/>
        <w:adjustRightInd w:val="0"/>
        <w:spacing w:before="120"/>
        <w:rPr>
          <w:rFonts w:ascii="Verdana" w:hAnsi="Verdana"/>
          <w:sz w:val="22"/>
          <w:szCs w:val="22"/>
        </w:rPr>
      </w:pPr>
      <w:r w:rsidRPr="0090251D">
        <w:rPr>
          <w:rFonts w:ascii="Verdana" w:hAnsi="Verdana"/>
          <w:sz w:val="22"/>
          <w:szCs w:val="22"/>
        </w:rPr>
        <w:t xml:space="preserve">REVERSED AND REMANDED </w:t>
      </w:r>
    </w:p>
    <w:p w14:paraId="68ED6395"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AF"/>
    <w:rsid w:val="00C64AAF"/>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0251"/>
  <w15:chartTrackingRefBased/>
  <w15:docId w15:val="{A69F7142-7153-403F-9034-6E1ED171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AF"/>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3055</Words>
  <Characters>17416</Characters>
  <Application>Microsoft Office Word</Application>
  <DocSecurity>0</DocSecurity>
  <Lines>145</Lines>
  <Paragraphs>40</Paragraphs>
  <ScaleCrop>false</ScaleCrop>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2020-10-08T23:04:00Z</dcterms:created>
  <dcterms:modified xsi:type="dcterms:W3CDTF">2020-10-08T23:04:00Z</dcterms:modified>
</cp:coreProperties>
</file>