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D32F1" w14:textId="77777777" w:rsidR="00C7620A" w:rsidRPr="0090251D" w:rsidRDefault="00C7620A" w:rsidP="00C7620A">
      <w:pPr>
        <w:widowControl w:val="0"/>
        <w:autoSpaceDE w:val="0"/>
        <w:autoSpaceDN w:val="0"/>
        <w:adjustRightInd w:val="0"/>
        <w:ind w:right="101"/>
        <w:jc w:val="center"/>
        <w:outlineLvl w:val="0"/>
        <w:rPr>
          <w:rFonts w:ascii="Verdana" w:hAnsi="Verdana"/>
          <w:color w:val="000000" w:themeColor="text1"/>
          <w:sz w:val="22"/>
          <w:szCs w:val="22"/>
        </w:rPr>
      </w:pPr>
      <w:hyperlink r:id="rId4" w:history="1">
        <w:bookmarkStart w:id="0" w:name="_Toc28976507"/>
        <w:r w:rsidRPr="0090251D">
          <w:rPr>
            <w:rFonts w:ascii="Verdana" w:hAnsi="Verdana"/>
            <w:color w:val="000000" w:themeColor="text1"/>
            <w:sz w:val="22"/>
            <w:szCs w:val="22"/>
          </w:rPr>
          <w:t>Perdue</w:t>
        </w:r>
      </w:hyperlink>
      <w:r w:rsidRPr="0090251D">
        <w:rPr>
          <w:rFonts w:ascii="Verdana" w:hAnsi="Verdana"/>
          <w:color w:val="000000" w:themeColor="text1"/>
          <w:sz w:val="22"/>
          <w:szCs w:val="22"/>
        </w:rPr>
        <w:t xml:space="preserve"> v. Crocker National Bank</w:t>
      </w:r>
      <w:bookmarkEnd w:id="0"/>
    </w:p>
    <w:p w14:paraId="174819C0" w14:textId="77777777" w:rsidR="00C7620A" w:rsidRPr="0090251D" w:rsidRDefault="00C7620A" w:rsidP="00C7620A">
      <w:pPr>
        <w:widowControl w:val="0"/>
        <w:autoSpaceDE w:val="0"/>
        <w:autoSpaceDN w:val="0"/>
        <w:adjustRightInd w:val="0"/>
        <w:ind w:right="100"/>
        <w:jc w:val="center"/>
        <w:rPr>
          <w:rFonts w:ascii="Verdana" w:hAnsi="Verdana"/>
          <w:color w:val="000000" w:themeColor="text1"/>
          <w:sz w:val="22"/>
          <w:szCs w:val="22"/>
        </w:rPr>
      </w:pPr>
      <w:r w:rsidRPr="0090251D">
        <w:rPr>
          <w:rFonts w:ascii="Verdana" w:hAnsi="Verdana"/>
          <w:color w:val="000000" w:themeColor="text1"/>
          <w:sz w:val="22"/>
          <w:szCs w:val="22"/>
        </w:rPr>
        <w:t>38 Cal.3d 913 (1986)</w:t>
      </w:r>
    </w:p>
    <w:p w14:paraId="44109831" w14:textId="77777777" w:rsidR="00C7620A" w:rsidRPr="0090251D" w:rsidRDefault="00C7620A" w:rsidP="00C7620A">
      <w:pPr>
        <w:widowControl w:val="0"/>
        <w:autoSpaceDE w:val="0"/>
        <w:autoSpaceDN w:val="0"/>
        <w:adjustRightInd w:val="0"/>
        <w:jc w:val="both"/>
        <w:rPr>
          <w:rFonts w:ascii="Verdana" w:hAnsi="Verdana"/>
          <w:b/>
          <w:bCs/>
          <w:color w:val="000000" w:themeColor="text1"/>
          <w:sz w:val="22"/>
          <w:szCs w:val="22"/>
        </w:rPr>
      </w:pPr>
      <w:bookmarkStart w:id="1" w:name="co_opinion_1"/>
      <w:bookmarkEnd w:id="1"/>
      <w:r w:rsidRPr="0090251D">
        <w:rPr>
          <w:rFonts w:ascii="Verdana" w:hAnsi="Verdana"/>
          <w:b/>
          <w:bCs/>
          <w:color w:val="000000" w:themeColor="text1"/>
          <w:sz w:val="22"/>
          <w:szCs w:val="22"/>
        </w:rPr>
        <w:t>Opinion</w:t>
      </w:r>
    </w:p>
    <w:p w14:paraId="4BAB678B" w14:textId="77777777" w:rsidR="00C7620A" w:rsidRPr="0090251D" w:rsidRDefault="00C7620A" w:rsidP="00C7620A">
      <w:pPr>
        <w:widowControl w:val="0"/>
        <w:autoSpaceDE w:val="0"/>
        <w:autoSpaceDN w:val="0"/>
        <w:adjustRightInd w:val="0"/>
        <w:jc w:val="both"/>
        <w:rPr>
          <w:rFonts w:ascii="Verdana" w:hAnsi="Verdana"/>
          <w:color w:val="000000" w:themeColor="text1"/>
          <w:sz w:val="22"/>
          <w:szCs w:val="22"/>
        </w:rPr>
      </w:pPr>
      <w:r w:rsidRPr="0090251D">
        <w:rPr>
          <w:rFonts w:ascii="Verdana" w:hAnsi="Verdana"/>
          <w:color w:val="000000" w:themeColor="text1"/>
          <w:sz w:val="22"/>
          <w:szCs w:val="22"/>
        </w:rPr>
        <w:t>BROUSSARD, Justice.</w:t>
      </w:r>
    </w:p>
    <w:p w14:paraId="09B00DE0" w14:textId="77777777" w:rsidR="00C7620A" w:rsidRPr="0090251D" w:rsidRDefault="00C7620A" w:rsidP="00C7620A">
      <w:pPr>
        <w:widowControl w:val="0"/>
        <w:autoSpaceDE w:val="0"/>
        <w:autoSpaceDN w:val="0"/>
        <w:adjustRightInd w:val="0"/>
        <w:jc w:val="both"/>
        <w:rPr>
          <w:rFonts w:ascii="Verdana" w:hAnsi="Verdana"/>
          <w:color w:val="000000" w:themeColor="text1"/>
          <w:sz w:val="22"/>
          <w:szCs w:val="22"/>
        </w:rPr>
      </w:pPr>
      <w:bookmarkStart w:id="2" w:name="co_anchor_If5eaaee5505c11e698dc8b09b4f04"/>
      <w:bookmarkEnd w:id="2"/>
    </w:p>
    <w:p w14:paraId="4210FDB3" w14:textId="77777777" w:rsidR="00C7620A" w:rsidRPr="0090251D" w:rsidRDefault="00C7620A" w:rsidP="00C7620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Plaintiff filed this class action to challenge the validity of charges imposed by</w:t>
      </w:r>
      <w:bookmarkStart w:id="3" w:name="co_pp_sp_227_350_1"/>
      <w:bookmarkStart w:id="4" w:name="co_pp_sp_661_508_1"/>
      <w:bookmarkEnd w:id="3"/>
      <w:bookmarkEnd w:id="4"/>
      <w:r w:rsidRPr="0090251D">
        <w:rPr>
          <w:rFonts w:ascii="Verdana" w:hAnsi="Verdana"/>
          <w:color w:val="000000" w:themeColor="text1"/>
          <w:sz w:val="22"/>
          <w:szCs w:val="22"/>
        </w:rPr>
        <w:t xml:space="preserve"> defendant Crocker National Bank for the processing of checks drawn on accounts without sufficient funds. (The parties refer to such checks as NSF checks and to the handling charge as an NSF charge.) He appeals from a judgment of the trial court entered after that court sustained defendant’s general demurrer without leave to amend.</w:t>
      </w:r>
    </w:p>
    <w:p w14:paraId="20E1A621" w14:textId="77777777" w:rsidR="00C7620A" w:rsidRPr="0090251D" w:rsidRDefault="00C7620A" w:rsidP="00C7620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0BAEFB43" w14:textId="77777777" w:rsidR="00C7620A" w:rsidRPr="0090251D" w:rsidRDefault="00C7620A" w:rsidP="00C7620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On July 3, 1978, plaintiff filed suit on behalf of all persons with checking accounts at defendant bank and a subclass of customers who have paid NSF charges to the bank.</w:t>
      </w:r>
      <w:bookmarkStart w:id="5" w:name="co_footnoteReference_B00111985136898_ID0"/>
      <w:bookmarkEnd w:id="5"/>
      <w:r w:rsidRPr="0090251D">
        <w:rPr>
          <w:rFonts w:ascii="Verdana" w:hAnsi="Verdana"/>
          <w:color w:val="000000" w:themeColor="text1"/>
          <w:sz w:val="22"/>
          <w:szCs w:val="22"/>
        </w:rPr>
        <w:t xml:space="preserve"> The complaint first alleges a contract under which the bank furnishes checking service in return for a maintenance charge.</w:t>
      </w:r>
      <w:bookmarkStart w:id="6" w:name="co_footnoteReference_B00221985136898_ID0"/>
      <w:bookmarkEnd w:id="6"/>
      <w:r w:rsidRPr="0090251D">
        <w:rPr>
          <w:rFonts w:ascii="Verdana" w:hAnsi="Verdana"/>
          <w:color w:val="000000" w:themeColor="text1"/>
          <w:sz w:val="22"/>
          <w:szCs w:val="22"/>
        </w:rPr>
        <w:t xml:space="preserve"> It then asserts that “It is the practice of defendants to impose and collect a unilaterally set charge for processing checks presented against plaintiffs’ accounts when such accounts do not contain sufficient funds to cover the amount of the check.” “Defendants have at various times unilaterally increased the NSF charge to an amount the defendants deemed appropriate, without reference to any criteria, and defendants imposed and collected the said increased </w:t>
      </w:r>
      <w:bookmarkStart w:id="7" w:name="co_pp_sp_233_921_1"/>
      <w:bookmarkEnd w:id="7"/>
      <w:r w:rsidRPr="0090251D">
        <w:rPr>
          <w:rFonts w:ascii="Verdana" w:hAnsi="Verdana"/>
          <w:color w:val="000000" w:themeColor="text1"/>
          <w:sz w:val="22"/>
          <w:szCs w:val="22"/>
        </w:rPr>
        <w:t>amount without any explanation or justification by defendants to plaintiffs.” At the time of filing of the suit, the charge was $6 for each NSF check, whether the check was honored or returned unpaid, even though “the actual cost incurred by the defendants in processing an NSF check is approximately $0.30.”</w:t>
      </w:r>
    </w:p>
    <w:p w14:paraId="52E9E074" w14:textId="77777777" w:rsidR="00C7620A" w:rsidRPr="0090251D" w:rsidRDefault="00C7620A" w:rsidP="00C7620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w:t>
      </w:r>
    </w:p>
    <w:p w14:paraId="715494EF" w14:textId="77777777" w:rsidR="00C7620A" w:rsidRPr="0090251D" w:rsidRDefault="00C7620A" w:rsidP="00C7620A">
      <w:pPr>
        <w:widowControl w:val="0"/>
        <w:autoSpaceDE w:val="0"/>
        <w:autoSpaceDN w:val="0"/>
        <w:adjustRightInd w:val="0"/>
        <w:rPr>
          <w:rFonts w:ascii="Verdana" w:hAnsi="Verdana"/>
          <w:color w:val="000000" w:themeColor="text1"/>
          <w:sz w:val="22"/>
          <w:szCs w:val="22"/>
        </w:rPr>
      </w:pPr>
      <w:r w:rsidRPr="0090251D">
        <w:rPr>
          <w:rFonts w:ascii="Verdana" w:hAnsi="Verdana"/>
          <w:color w:val="000000" w:themeColor="text1"/>
          <w:sz w:val="22"/>
          <w:szCs w:val="22"/>
        </w:rPr>
        <w:t xml:space="preserve">The bank requires each depositor to sign a signature card which it uses “to determine and verify the authenticity of endorsements on checks”. [The court held that the card constituted a contract.] In extremely small (6 point) type, the signature card states that the undersigned depositors “agree with Crocker National Bank and with each other that ... this account and all deposits therein shall be ... subject to all applicable laws, to the Bank’s present and future rules, regulations, practices and charges, and to its right of setoff for the obligations of any of us.” </w:t>
      </w:r>
    </w:p>
    <w:p w14:paraId="54E28A03" w14:textId="77777777" w:rsidR="00C7620A" w:rsidRPr="0090251D" w:rsidRDefault="00C7620A" w:rsidP="00C7620A">
      <w:pPr>
        <w:widowControl w:val="0"/>
        <w:autoSpaceDE w:val="0"/>
        <w:autoSpaceDN w:val="0"/>
        <w:adjustRightInd w:val="0"/>
        <w:rPr>
          <w:rFonts w:ascii="Verdana" w:hAnsi="Verdana"/>
          <w:color w:val="000000" w:themeColor="text1"/>
          <w:sz w:val="22"/>
          <w:szCs w:val="22"/>
        </w:rPr>
      </w:pPr>
    </w:p>
    <w:p w14:paraId="5E65BC75"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0A"/>
    <w:rsid w:val="00C7620A"/>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C7C9"/>
  <w15:chartTrackingRefBased/>
  <w15:docId w15:val="{DD545CE6-6DA5-4318-9CBB-B05C39BB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0A"/>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stlaw.com/Search/Results.html?query=advanced%3a+OAID(5012691013)&amp;saveJuris=False&amp;contentType=BUSINESS-INVESTIGATOR&amp;startIndex=1&amp;contextData=(sc.Default)&amp;categoryPageUrl=Home%2fCompanyInvestigator&amp;originationContext=document&amp;vr=3.0&amp;rs=cblt1.0&amp;transitionType=Document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2020-10-08T21:57:00Z</dcterms:created>
  <dcterms:modified xsi:type="dcterms:W3CDTF">2020-10-08T21:57:00Z</dcterms:modified>
</cp:coreProperties>
</file>