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93EA9" w:rsidRPr="00093EA9" w:rsidRDefault="00093EA9" w:rsidP="00093EA9">
      <w:pPr>
        <w:jc w:val="center"/>
      </w:pPr>
      <w:r w:rsidRPr="00093EA9">
        <w:t>Kline v. 1500 Massachusetts Avenue Apartment Corporation</w:t>
      </w:r>
    </w:p>
    <w:p w:rsidR="00093EA9" w:rsidRDefault="00093EA9" w:rsidP="00093EA9">
      <w:pPr>
        <w:jc w:val="center"/>
      </w:pPr>
      <w:r w:rsidRPr="00093EA9">
        <w:t>439 F.2d 477 (D. C. Cir., 1970)</w:t>
      </w:r>
    </w:p>
    <w:p w:rsidR="00093EA9" w:rsidRPr="00093EA9" w:rsidRDefault="00093EA9" w:rsidP="00093EA9">
      <w:pPr>
        <w:jc w:val="center"/>
      </w:pPr>
    </w:p>
    <w:p w:rsidR="00093EA9" w:rsidRDefault="00093EA9" w:rsidP="00093EA9">
      <w:r w:rsidRPr="00093EA9">
        <w:t>Wilkey, Circuit Judge:</w:t>
      </w:r>
    </w:p>
    <w:p w:rsidR="00093EA9" w:rsidRPr="00093EA9" w:rsidRDefault="00093EA9" w:rsidP="00093EA9"/>
    <w:p w:rsidR="00093EA9" w:rsidRDefault="00093EA9" w:rsidP="00093EA9">
      <w:pPr>
        <w:ind w:firstLine="720"/>
      </w:pPr>
      <w:r w:rsidRPr="00093EA9">
        <w:t>The appellee apartment corporation states that there is 'only one issue presented for review * * * whether a duty should be placed on a landlord to take steps to protect tenants from foreseeable criminal acts committed by third parties.' The District Court as a matter of law held that there is no such duty.  We find that there is, and that in the circumstances here the applicable standard of care was breached.  We therefore reverse and remand to the District Court for the determination of damages for the appellant.</w:t>
      </w:r>
    </w:p>
    <w:p w:rsidR="00093EA9" w:rsidRPr="00093EA9" w:rsidRDefault="00093EA9" w:rsidP="00093EA9">
      <w:pPr>
        <w:ind w:firstLine="720"/>
      </w:pPr>
    </w:p>
    <w:p w:rsidR="00093EA9" w:rsidRPr="00093EA9" w:rsidRDefault="00093EA9" w:rsidP="00093EA9">
      <w:pPr>
        <w:rPr>
          <w:b/>
        </w:rPr>
      </w:pPr>
      <w:r w:rsidRPr="00093EA9">
        <w:rPr>
          <w:b/>
        </w:rPr>
        <w:t>I</w:t>
      </w:r>
    </w:p>
    <w:p w:rsidR="00093EA9" w:rsidRDefault="00093EA9" w:rsidP="00093EA9"/>
    <w:p w:rsidR="00093EA9" w:rsidRDefault="00093EA9" w:rsidP="00093EA9">
      <w:pPr>
        <w:ind w:firstLine="720"/>
      </w:pPr>
      <w:r w:rsidRPr="00093EA9">
        <w:t xml:space="preserve">The appellant, Sarah B. Kline, sustained serious injuries when she was criminally assaulted and robbed at approximately </w:t>
      </w:r>
      <w:smartTag w:uri="urn:schemas-microsoft-com:office:smarttags" w:element="time">
        <w:smartTagPr>
          <w:attr w:name="Hour" w:val="10"/>
          <w:attr w:name="Minute" w:val="15"/>
        </w:smartTagPr>
        <w:r w:rsidRPr="00093EA9">
          <w:t>10:15</w:t>
        </w:r>
      </w:smartTag>
      <w:r w:rsidRPr="00093EA9">
        <w:t xml:space="preserve"> in the evening by an intruder in the common hallway of an apartment house at </w:t>
      </w:r>
      <w:smartTag w:uri="urn:schemas-microsoft-com:office:smarttags" w:element="Street">
        <w:smartTag w:uri="urn:schemas-microsoft-com:office:smarttags" w:element="address">
          <w:r w:rsidRPr="00093EA9">
            <w:t>1500 Massachusetts Avenue</w:t>
          </w:r>
        </w:smartTag>
      </w:smartTag>
      <w:r w:rsidRPr="00093EA9">
        <w:t xml:space="preserve">.  This facility, into which the appellant Kline moved in October 1959, is a large apartment building with approximately 585 individual apartment units.  It has a main entrance on </w:t>
      </w:r>
      <w:smartTag w:uri="urn:schemas-microsoft-com:office:smarttags" w:element="Street">
        <w:smartTag w:uri="urn:schemas-microsoft-com:office:smarttags" w:element="address">
          <w:r w:rsidRPr="00093EA9">
            <w:t>Massachusetts Avenue</w:t>
          </w:r>
        </w:smartTag>
      </w:smartTag>
      <w:r w:rsidRPr="00093EA9">
        <w:t xml:space="preserve">, with side entrances on both 15th and 16th Streets.  At the time the appellant first signed a lease a doorman was on duty at the main entrance twenty-four hours a day, and at least one employee at all times manned a desk in the lobby from which all persons using the elevators could be observed.  The </w:t>
      </w:r>
      <w:smartTag w:uri="urn:schemas-microsoft-com:office:smarttags" w:element="Street">
        <w:smartTag w:uri="urn:schemas-microsoft-com:office:smarttags" w:element="address">
          <w:r w:rsidRPr="00093EA9">
            <w:t>15th Street</w:t>
          </w:r>
        </w:smartTag>
      </w:smartTag>
      <w:r w:rsidRPr="00093EA9">
        <w:t xml:space="preserve"> door adjoined the entrance to a parking garage used by both the tenants and the public.  Two garage attendants were stationed at this dual entranceway; the duties of each being arranged so that one of them always was in position to observe those entering either the apartment building or the garage.  The </w:t>
      </w:r>
      <w:smartTag w:uri="urn:schemas-microsoft-com:office:smarttags" w:element="Street">
        <w:smartTag w:uri="urn:schemas-microsoft-com:office:smarttags" w:element="address">
          <w:r w:rsidRPr="00093EA9">
            <w:t>16th Street</w:t>
          </w:r>
        </w:smartTag>
      </w:smartTag>
      <w:r w:rsidRPr="00093EA9">
        <w:t xml:space="preserve"> entrance was unattended during the day but was locked after </w:t>
      </w:r>
      <w:smartTag w:uri="urn:schemas-microsoft-com:office:smarttags" w:element="time">
        <w:smartTagPr>
          <w:attr w:name="Hour" w:val="21"/>
          <w:attr w:name="Minute" w:val="0"/>
        </w:smartTagPr>
        <w:r w:rsidRPr="00093EA9">
          <w:t>9:00 P.M.</w:t>
        </w:r>
      </w:smartTag>
    </w:p>
    <w:p w:rsidR="00093EA9" w:rsidRPr="00093EA9" w:rsidRDefault="00093EA9" w:rsidP="00093EA9">
      <w:pPr>
        <w:ind w:firstLine="720"/>
      </w:pPr>
    </w:p>
    <w:p w:rsidR="00093EA9" w:rsidRPr="00093EA9" w:rsidRDefault="00093EA9" w:rsidP="00093EA9">
      <w:pPr>
        <w:ind w:firstLine="720"/>
      </w:pPr>
      <w:r w:rsidRPr="00093EA9">
        <w:t>By mid-1966, however, the main entrance had no doorman, the desk in the lobby was left unattended much of the time, the 15th Street entrance was generally unguarded due to a decrease in garage personnel, and the 16th Street entrance was often left unlocked all night.  The entrances were allowed to be thus unguarded in the face of an increasing number of assaults, larcenies, and robberies being perpetrated against the tenants in and from the common hallways of the apartm</w:t>
      </w:r>
      <w:bookmarkStart w:id="0" w:name="_GoBack"/>
      <w:bookmarkEnd w:id="0"/>
      <w:r w:rsidRPr="00093EA9">
        <w:t xml:space="preserve">ent building.  These facts were undisputed . . . The landlord had notice of these crimes and had in fact been urged by appellant Kline herself prior to the events leading to the instant appeal to take steps to secure the building. </w:t>
      </w:r>
    </w:p>
    <w:p w:rsidR="00093EA9" w:rsidRDefault="00093EA9" w:rsidP="00093EA9">
      <w:r w:rsidRPr="00093EA9">
        <w:t xml:space="preserve">Shortly after </w:t>
      </w:r>
      <w:smartTag w:uri="urn:schemas-microsoft-com:office:smarttags" w:element="time">
        <w:smartTagPr>
          <w:attr w:name="Hour" w:val="22"/>
          <w:attr w:name="Minute" w:val="0"/>
        </w:smartTagPr>
        <w:r w:rsidRPr="00093EA9">
          <w:t>10:00 P.M.</w:t>
        </w:r>
      </w:smartTag>
      <w:r w:rsidRPr="00093EA9">
        <w:t xml:space="preserve"> on </w:t>
      </w:r>
      <w:smartTag w:uri="urn:schemas-microsoft-com:office:smarttags" w:element="date">
        <w:smartTagPr>
          <w:attr w:name="Month" w:val="11"/>
          <w:attr w:name="Day" w:val="17"/>
          <w:attr w:name="Year" w:val="1966"/>
        </w:smartTagPr>
        <w:r w:rsidRPr="00093EA9">
          <w:t>November 17, 1966</w:t>
        </w:r>
      </w:smartTag>
      <w:r w:rsidRPr="00093EA9">
        <w:t>, Miss Kline was assaulted and robbed just outside her apartment on the first floor above the street level of this 585 unit apartment building.  This occurred only two months after Leona Sullivan, another female tenant, had been similarly attacked in the same commonway.</w:t>
      </w:r>
    </w:p>
    <w:p w:rsidR="00093EA9" w:rsidRPr="00093EA9" w:rsidRDefault="00093EA9" w:rsidP="00093EA9"/>
    <w:p w:rsidR="00093EA9" w:rsidRPr="00093EA9" w:rsidRDefault="00093EA9" w:rsidP="00093EA9">
      <w:pPr>
        <w:rPr>
          <w:b/>
        </w:rPr>
      </w:pPr>
      <w:r w:rsidRPr="00093EA9">
        <w:rPr>
          <w:b/>
        </w:rPr>
        <w:lastRenderedPageBreak/>
        <w:t>II</w:t>
      </w:r>
    </w:p>
    <w:p w:rsidR="00093EA9" w:rsidRPr="00093EA9" w:rsidRDefault="00093EA9" w:rsidP="00093EA9"/>
    <w:p w:rsidR="00093EA9" w:rsidRDefault="00093EA9" w:rsidP="00093EA9">
      <w:pPr>
        <w:ind w:firstLine="720"/>
      </w:pPr>
      <w:r w:rsidRPr="00093EA9">
        <w:t xml:space="preserve">At the outset we note that of the crimes of violence, robbery, and assault which had been occurring with mounting frequency on the premises at </w:t>
      </w:r>
      <w:smartTag w:uri="urn:schemas-microsoft-com:office:smarttags" w:element="Street">
        <w:smartTag w:uri="urn:schemas-microsoft-com:office:smarttags" w:element="address">
          <w:r w:rsidRPr="00093EA9">
            <w:t>1500 Massachusetts Avenue</w:t>
          </w:r>
        </w:smartTag>
      </w:smartTag>
      <w:r w:rsidRPr="00093EA9">
        <w:t>, the assaults on Miss Kline and Miss Sullivan took place in the hallways of the building, which were under the exclusive control of the appellee landlord.  Even in those crimes of robbery or assault committed in individual apartments, the intruders of necessity had to gain entrance through the common entry and passageways. These premises fronted on three heavily traveled streets, and had multiple entrances.  The risk to be guarded against therefore was the risk of unauthorized entrance into the apartment house by intruders bent upon some crime of violence or theft.</w:t>
      </w:r>
    </w:p>
    <w:p w:rsidR="00093EA9" w:rsidRPr="00093EA9" w:rsidRDefault="00093EA9" w:rsidP="00093EA9">
      <w:pPr>
        <w:ind w:firstLine="720"/>
      </w:pPr>
    </w:p>
    <w:p w:rsidR="00093EA9" w:rsidRDefault="00093EA9" w:rsidP="00093EA9">
      <w:pPr>
        <w:ind w:firstLine="720"/>
      </w:pPr>
      <w:r w:rsidRPr="00093EA9">
        <w:t>While the apartment lessees themselves could take some steps to guard against this risk by installing extra heavy locks and other security devices on the doors and windows of their respective apartments, yet this risk in the greater part could only be guarded against by the landlord.  No individual tenant had it within his power to take measures to guard the garage entranceways, to provide scrutiny at the main entrance of the building, to patrol the common hallways and elevators, to set up any kind of a security alarm system in the building, to provide additional locking devices on the main doors, to provide a system of announcement for authorized visitors only, to close the garage doors at appropriate hours, and to see that the entrance was manned at all times.</w:t>
      </w:r>
    </w:p>
    <w:p w:rsidR="00093EA9" w:rsidRPr="00093EA9" w:rsidRDefault="00093EA9" w:rsidP="00093EA9">
      <w:pPr>
        <w:ind w:firstLine="720"/>
      </w:pPr>
    </w:p>
    <w:p w:rsidR="00093EA9" w:rsidRDefault="00093EA9" w:rsidP="00093EA9">
      <w:pPr>
        <w:ind w:firstLine="720"/>
      </w:pPr>
      <w:r w:rsidRPr="00093EA9">
        <w:t>The risk of criminal assault and robbery on a tenant in the common hallways of the building was thus entirely predictable; that same risk had been occurring with increasing frequency over a period of several months immediately prior to the incident giving rise to this case; it was a risk whose prevention or minimization was almost entirely within the power of the landlord; and the risk materialized in the assault and robbery of appellant on November 17, 1966.</w:t>
      </w:r>
    </w:p>
    <w:p w:rsidR="00093EA9" w:rsidRPr="00093EA9" w:rsidRDefault="00093EA9" w:rsidP="00093EA9">
      <w:pPr>
        <w:ind w:firstLine="720"/>
      </w:pPr>
    </w:p>
    <w:p w:rsidR="00093EA9" w:rsidRPr="00093EA9" w:rsidRDefault="00093EA9" w:rsidP="00093EA9">
      <w:pPr>
        <w:rPr>
          <w:b/>
        </w:rPr>
      </w:pPr>
      <w:r w:rsidRPr="00093EA9">
        <w:rPr>
          <w:b/>
        </w:rPr>
        <w:t>III</w:t>
      </w:r>
    </w:p>
    <w:p w:rsidR="00093EA9" w:rsidRDefault="00093EA9" w:rsidP="00093EA9">
      <w:r w:rsidRPr="00093EA9">
        <w:t>. . .</w:t>
      </w:r>
    </w:p>
    <w:p w:rsidR="00093EA9" w:rsidRPr="00093EA9" w:rsidRDefault="00093EA9" w:rsidP="00093EA9"/>
    <w:p w:rsidR="00093EA9" w:rsidRDefault="00093EA9" w:rsidP="00093EA9">
      <w:pPr>
        <w:ind w:firstLine="720"/>
      </w:pPr>
      <w:r w:rsidRPr="00093EA9">
        <w:t xml:space="preserve">As a general rule, a private person does not have a duty to protect another from a criminal attack by a third person. </w:t>
      </w:r>
    </w:p>
    <w:p w:rsidR="00093EA9" w:rsidRDefault="00093EA9" w:rsidP="00093EA9">
      <w:pPr>
        <w:ind w:firstLine="720"/>
      </w:pPr>
    </w:p>
    <w:p w:rsidR="00093EA9" w:rsidRDefault="00093EA9" w:rsidP="00093EA9">
      <w:r w:rsidRPr="00093EA9">
        <w:t xml:space="preserve">. . . </w:t>
      </w:r>
    </w:p>
    <w:p w:rsidR="00093EA9" w:rsidRPr="00093EA9" w:rsidRDefault="00093EA9" w:rsidP="00093EA9"/>
    <w:p w:rsidR="00093EA9" w:rsidRDefault="00093EA9" w:rsidP="00093EA9">
      <w:pPr>
        <w:ind w:firstLine="720"/>
      </w:pPr>
      <w:r w:rsidRPr="00093EA9">
        <w:t xml:space="preserve">The rationale of the general rule exonerating a third party from any duty to protect another from a criminal attack has no applicability to the landlord-tenant relationship in multiple dwelling houses. The landlord is no insurer of his tenants' safety, but he certainly is no bystander.  And where, as here, the landlord has notice of repeated criminal assaults and robberies, has notice that these crimes occurred in the portion of the premises </w:t>
      </w:r>
      <w:r w:rsidRPr="00093EA9">
        <w:lastRenderedPageBreak/>
        <w:t>exclusively within his control, has every reason to expect like crimes to happen again, and has the exclusive power to take preventive action, it does not seem unfair to place upon the landlord a duty to take those steps which are within his power to minimize the predictable risk to his tenants.</w:t>
      </w:r>
    </w:p>
    <w:p w:rsidR="00093EA9" w:rsidRPr="00093EA9" w:rsidRDefault="00093EA9" w:rsidP="00093EA9">
      <w:pPr>
        <w:ind w:firstLine="720"/>
      </w:pPr>
    </w:p>
    <w:p w:rsidR="00093EA9" w:rsidRDefault="00093EA9" w:rsidP="00093EA9">
      <w:r w:rsidRPr="00093EA9">
        <w:t xml:space="preserve">. . . </w:t>
      </w:r>
    </w:p>
    <w:p w:rsidR="00093EA9" w:rsidRPr="00093EA9" w:rsidRDefault="00093EA9" w:rsidP="00093EA9"/>
    <w:p w:rsidR="00093EA9" w:rsidRDefault="00093EA9" w:rsidP="00093EA9">
      <w:pPr>
        <w:ind w:firstLine="720"/>
      </w:pPr>
      <w:r w:rsidRPr="00093EA9">
        <w:t>As between tenant and landlord, the landlord is the only one in the position to take the necessary acts of protection required. He is not an insurer, but he is obligated to minimize the risk to his tenants.  Not only as between landlord and tenant is the landlord best equipped to guard against the predictable risk of intruders, but even as between landlord and the police power of government, the landlord is in the best position to take the necessary protective measures.  Municipal police cannot patrol the entryways and the hallways, the garages and the basements of private multiple unit apartment dwellings.  They are neither equipped, manned, nor empowered to do so.  In the area of the predictable risk which materialized in this case, only the landlord could have taken measures which might have prevented the injuries suffered by appellant.</w:t>
      </w:r>
    </w:p>
    <w:p w:rsidR="00093EA9" w:rsidRPr="00093EA9" w:rsidRDefault="00093EA9" w:rsidP="00093EA9">
      <w:pPr>
        <w:ind w:firstLine="720"/>
      </w:pPr>
    </w:p>
    <w:p w:rsidR="00093EA9" w:rsidRPr="00093EA9" w:rsidRDefault="00093EA9" w:rsidP="00093EA9">
      <w:pPr>
        <w:ind w:firstLine="720"/>
      </w:pPr>
      <w:r w:rsidRPr="00093EA9">
        <w:t xml:space="preserve">We note that in the fight against crime the police are not expected to do it all; every segment of society has obligations to aid in law enforcement and to minimize the opportunities for crime.  The average citizen is ceaselessly warned to remove keys from automobiles and, in this jurisdiction, may be liable in tort for any injury caused in the operation of his car by a thief if he fails to do so, notwithstanding the intervening criminal act of the thief, a third party.  </w:t>
      </w:r>
      <w:hyperlink r:id="rId6" w:history="1">
        <w:r w:rsidRPr="00093EA9">
          <w:rPr>
            <w:rStyle w:val="Hyperlink"/>
          </w:rPr>
          <w:t>Gaither v. Myers, 131 U.S.App.D.C. 216, 404 F.2d 216 (1968)</w:t>
        </w:r>
      </w:hyperlink>
      <w:r w:rsidRPr="00093EA9">
        <w:t>.  In addition, auto manufacturers are persuaded to install special locking devices and buzzer alarms, and real estate developers, residential communities, and industrial areas are asked to install especially bright lights to deter the criminally inclined.  It is only just that the obligations of landlords in their sphere be acknowledged and enforced.</w:t>
      </w:r>
    </w:p>
    <w:p w:rsidR="00093EA9" w:rsidRDefault="00093EA9" w:rsidP="00093EA9">
      <w:r w:rsidRPr="00093EA9">
        <w:t xml:space="preserve">. . . </w:t>
      </w:r>
    </w:p>
    <w:p w:rsidR="00093EA9" w:rsidRPr="00093EA9" w:rsidRDefault="00093EA9" w:rsidP="00093EA9"/>
    <w:p w:rsidR="00093EA9" w:rsidRPr="00093EA9" w:rsidRDefault="00093EA9" w:rsidP="00093EA9">
      <w:pPr>
        <w:rPr>
          <w:b/>
        </w:rPr>
      </w:pPr>
      <w:r w:rsidRPr="00093EA9">
        <w:rPr>
          <w:b/>
        </w:rPr>
        <w:t>IV</w:t>
      </w:r>
    </w:p>
    <w:p w:rsidR="00093EA9" w:rsidRDefault="00093EA9" w:rsidP="00093EA9"/>
    <w:p w:rsidR="00093EA9" w:rsidRDefault="00093EA9" w:rsidP="00093EA9">
      <w:pPr>
        <w:ind w:firstLine="720"/>
      </w:pPr>
      <w:r w:rsidRPr="00093EA9">
        <w:t xml:space="preserve">We now turn to the standard of care which should be applied in judging if the landlord has fulfilled his duty of protection to the tenant.  Although in many cases the language speaks as if the standard of care itself varies, in the last analysis the standard of care is the same-- reasonable care in all the circumstances. </w:t>
      </w:r>
    </w:p>
    <w:p w:rsidR="00093EA9" w:rsidRPr="00093EA9" w:rsidRDefault="00093EA9" w:rsidP="00093EA9">
      <w:pPr>
        <w:ind w:firstLine="720"/>
      </w:pPr>
    </w:p>
    <w:p w:rsidR="00093EA9" w:rsidRDefault="00093EA9" w:rsidP="00093EA9">
      <w:r w:rsidRPr="00093EA9">
        <w:t>. . .</w:t>
      </w:r>
    </w:p>
    <w:p w:rsidR="00093EA9" w:rsidRPr="00093EA9" w:rsidRDefault="00093EA9" w:rsidP="00093EA9"/>
    <w:p w:rsidR="00E01111" w:rsidRDefault="00093EA9" w:rsidP="00093EA9">
      <w:pPr>
        <w:ind w:firstLine="720"/>
      </w:pPr>
      <w:r w:rsidRPr="00093EA9">
        <w:t xml:space="preserve">We therefore hold in this case that the applicable standard of care in providing protection for the tenant is that standard which this landlord himself was employing in October 1959 when the appellant became a resident on the premises at </w:t>
      </w:r>
      <w:smartTag w:uri="urn:schemas-microsoft-com:office:smarttags" w:element="Street">
        <w:smartTag w:uri="urn:schemas-microsoft-com:office:smarttags" w:element="address">
          <w:r w:rsidRPr="00093EA9">
            <w:t>1500 Massachusetts Avenue</w:t>
          </w:r>
        </w:smartTag>
      </w:smartTag>
      <w:r w:rsidRPr="00093EA9">
        <w:t xml:space="preserve">.  The tenant was led </w:t>
      </w:r>
      <w:r w:rsidRPr="00093EA9">
        <w:lastRenderedPageBreak/>
        <w:t>to expect that she could rely upon this degree of protection.  While we do not say that the precise measures for security which were then in vogue should have been kept up (e.g., the number of people at the main entrances might have been reduced if a tenant-controlled intercom-automatic latch system had been installed in the common entryways),</w:t>
      </w:r>
      <w:bookmarkStart w:id="1" w:name="Document1zzFN_B02222"/>
      <w:bookmarkEnd w:id="1"/>
      <w:r w:rsidRPr="00093EA9">
        <w:t xml:space="preserve"> we do hold that the same relative degree of security should have been maintained.</w:t>
      </w:r>
    </w:p>
    <w:p w:rsidR="00093EA9" w:rsidRDefault="00093EA9" w:rsidP="00E27FA3"/>
    <w:sectPr w:rsidR="00093EA9">
      <w:footerReference w:type="default" r:id="rId7"/>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F5A44" w:rsidRDefault="00CF5A44" w:rsidP="007768D3">
      <w:r>
        <w:separator/>
      </w:r>
    </w:p>
  </w:endnote>
  <w:endnote w:type="continuationSeparator" w:id="0">
    <w:p w:rsidR="00CF5A44" w:rsidRDefault="00CF5A44" w:rsidP="007768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68D3" w:rsidRDefault="007768D3">
    <w:pPr>
      <w:pStyle w:val="Footer"/>
      <w:jc w:val="center"/>
    </w:pPr>
    <w:r>
      <w:fldChar w:fldCharType="begin"/>
    </w:r>
    <w:r>
      <w:instrText xml:space="preserve"> PAGE   \* MERGEFORMAT </w:instrText>
    </w:r>
    <w:r>
      <w:fldChar w:fldCharType="separate"/>
    </w:r>
    <w:r w:rsidR="00F47E1B">
      <w:rPr>
        <w:noProof/>
      </w:rPr>
      <w:t>2</w:t>
    </w:r>
    <w:r>
      <w:rPr>
        <w:noProof/>
      </w:rPr>
      <w:fldChar w:fldCharType="end"/>
    </w:r>
  </w:p>
  <w:p w:rsidR="007768D3" w:rsidRDefault="007768D3">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F5A44" w:rsidRDefault="00CF5A44" w:rsidP="007768D3">
      <w:r>
        <w:separator/>
      </w:r>
    </w:p>
  </w:footnote>
  <w:footnote w:type="continuationSeparator" w:id="0">
    <w:p w:rsidR="00CF5A44" w:rsidRDefault="00CF5A44" w:rsidP="007768D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8"/>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7DCA"/>
    <w:rsid w:val="000330B7"/>
    <w:rsid w:val="00093EA9"/>
    <w:rsid w:val="00161E04"/>
    <w:rsid w:val="004242CE"/>
    <w:rsid w:val="004F6685"/>
    <w:rsid w:val="00555BC8"/>
    <w:rsid w:val="006803C4"/>
    <w:rsid w:val="006C5D66"/>
    <w:rsid w:val="007768D3"/>
    <w:rsid w:val="00827D7F"/>
    <w:rsid w:val="008B2D5F"/>
    <w:rsid w:val="008E149E"/>
    <w:rsid w:val="009674BD"/>
    <w:rsid w:val="00B440FE"/>
    <w:rsid w:val="00B502EE"/>
    <w:rsid w:val="00C70A25"/>
    <w:rsid w:val="00C809EB"/>
    <w:rsid w:val="00CF5A44"/>
    <w:rsid w:val="00D3722D"/>
    <w:rsid w:val="00E01111"/>
    <w:rsid w:val="00E0192D"/>
    <w:rsid w:val="00E27FA3"/>
    <w:rsid w:val="00E36711"/>
    <w:rsid w:val="00EA7DCA"/>
    <w:rsid w:val="00F3584F"/>
    <w:rsid w:val="00F47E1B"/>
    <w:rsid w:val="00F64A1C"/>
    <w:rsid w:val="00FA7740"/>
    <w:rsid w:val="00FB2946"/>
    <w:rsid w:val="00FD3C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Street"/>
  <w:smartTagType w:namespaceuri="urn:schemas-microsoft-com:office:smarttags" w:name="time"/>
  <w:smartTagType w:namespaceuri="urn:schemas-microsoft-com:office:smarttags" w:name="date"/>
  <w:shapeDefaults>
    <o:shapedefaults v:ext="edit" spidmax="1026"/>
    <o:shapelayout v:ext="edit">
      <o:idmap v:ext="edit" data="1"/>
    </o:shapelayout>
  </w:shapeDefaults>
  <w:decimalSymbol w:val="."/>
  <w:listSeparator w:val=","/>
  <w15:chartTrackingRefBased/>
  <w15:docId w15:val="{765DF27E-791F-44F7-BACD-18FE0E7EB7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Verdana" w:hAnsi="Verdana"/>
      <w:sz w:val="22"/>
      <w:szCs w:val="2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Hyperlink">
    <w:name w:val="Hyperlink"/>
    <w:rsid w:val="00093EA9"/>
    <w:rPr>
      <w:color w:val="0000FF"/>
      <w:u w:val="single"/>
    </w:rPr>
  </w:style>
  <w:style w:type="paragraph" w:styleId="Header">
    <w:name w:val="header"/>
    <w:basedOn w:val="Normal"/>
    <w:link w:val="HeaderChar"/>
    <w:uiPriority w:val="99"/>
    <w:unhideWhenUsed/>
    <w:rsid w:val="007768D3"/>
    <w:pPr>
      <w:tabs>
        <w:tab w:val="center" w:pos="4680"/>
        <w:tab w:val="right" w:pos="9360"/>
      </w:tabs>
    </w:pPr>
  </w:style>
  <w:style w:type="character" w:customStyle="1" w:styleId="HeaderChar">
    <w:name w:val="Header Char"/>
    <w:link w:val="Header"/>
    <w:uiPriority w:val="99"/>
    <w:rsid w:val="007768D3"/>
    <w:rPr>
      <w:rFonts w:ascii="Verdana" w:hAnsi="Verdana"/>
      <w:sz w:val="22"/>
      <w:szCs w:val="22"/>
    </w:rPr>
  </w:style>
  <w:style w:type="paragraph" w:styleId="Footer">
    <w:name w:val="footer"/>
    <w:basedOn w:val="Normal"/>
    <w:link w:val="FooterChar"/>
    <w:uiPriority w:val="99"/>
    <w:unhideWhenUsed/>
    <w:rsid w:val="007768D3"/>
    <w:pPr>
      <w:tabs>
        <w:tab w:val="center" w:pos="4680"/>
        <w:tab w:val="right" w:pos="9360"/>
      </w:tabs>
    </w:pPr>
  </w:style>
  <w:style w:type="character" w:customStyle="1" w:styleId="FooterChar">
    <w:name w:val="Footer Char"/>
    <w:link w:val="Footer"/>
    <w:uiPriority w:val="99"/>
    <w:rsid w:val="007768D3"/>
    <w:rPr>
      <w:rFonts w:ascii="Verdana" w:hAnsi="Verdana"/>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westlaw.com/Find/Default.wl?rs=dfa1.0&amp;vr=2.0&amp;DB=350&amp;FindType=Y&amp;SerialNum=1968119939"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1280</Words>
  <Characters>7299</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Kline v</vt:lpstr>
    </vt:vector>
  </TitlesOfParts>
  <Company/>
  <LinksUpToDate>false</LinksUpToDate>
  <CharactersWithSpaces>8562</CharactersWithSpaces>
  <SharedDoc>false</SharedDoc>
  <HLinks>
    <vt:vector size="6" baseType="variant">
      <vt:variant>
        <vt:i4>3276923</vt:i4>
      </vt:variant>
      <vt:variant>
        <vt:i4>0</vt:i4>
      </vt:variant>
      <vt:variant>
        <vt:i4>0</vt:i4>
      </vt:variant>
      <vt:variant>
        <vt:i4>5</vt:i4>
      </vt:variant>
      <vt:variant>
        <vt:lpwstr>http://www.westlaw.com/Find/Default.wl?rs=dfa1.0&amp;vr=2.0&amp;DB=350&amp;FindType=Y&amp;SerialNum=1968119939</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Kline v</dc:title>
  <dc:subject/>
  <dc:creator>Richard</dc:creator>
  <cp:keywords/>
  <cp:lastModifiedBy>Richard Warner</cp:lastModifiedBy>
  <cp:revision>2</cp:revision>
  <dcterms:created xsi:type="dcterms:W3CDTF">2020-04-21T19:46:00Z</dcterms:created>
  <dcterms:modified xsi:type="dcterms:W3CDTF">2020-04-21T19:46:00Z</dcterms:modified>
</cp:coreProperties>
</file>