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B967C"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7518D5E1" w14:textId="77777777" w:rsidR="00586E12" w:rsidRPr="004D2D8F" w:rsidRDefault="00586E12">
      <w:pPr>
        <w:widowControl w:val="0"/>
        <w:autoSpaceDE w:val="0"/>
        <w:autoSpaceDN w:val="0"/>
        <w:adjustRightInd w:val="0"/>
        <w:spacing w:after="0" w:line="240" w:lineRule="auto"/>
        <w:rPr>
          <w:rFonts w:ascii="Verdana" w:hAnsi="Verdana" w:cs="Arial"/>
        </w:rPr>
        <w:sectPr w:rsidR="00586E12" w:rsidRPr="004D2D8F">
          <w:headerReference w:type="default" r:id="rId6"/>
          <w:footerReference w:type="default" r:id="rId7"/>
          <w:pgSz w:w="12240" w:h="15840"/>
          <w:pgMar w:top="1800" w:right="1080" w:bottom="1080" w:left="1080" w:header="720" w:footer="720" w:gutter="0"/>
          <w:cols w:space="720"/>
          <w:noEndnote/>
        </w:sectPr>
      </w:pPr>
    </w:p>
    <w:p w14:paraId="54D219D7"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bookmarkStart w:id="0" w:name="co_document_1"/>
      <w:bookmarkStart w:id="1" w:name="I7061ba40d32e11e9a803cc27e5772c47_Target"/>
      <w:bookmarkEnd w:id="0"/>
      <w:bookmarkEnd w:id="1"/>
    </w:p>
    <w:p w14:paraId="178AEE0F" w14:textId="5333F2AA" w:rsidR="004D2D8F" w:rsidRDefault="004D2D8F">
      <w:pPr>
        <w:widowControl w:val="0"/>
        <w:autoSpaceDE w:val="0"/>
        <w:autoSpaceDN w:val="0"/>
        <w:adjustRightInd w:val="0"/>
        <w:spacing w:after="0" w:line="240" w:lineRule="auto"/>
        <w:jc w:val="center"/>
        <w:rPr>
          <w:rFonts w:ascii="Verdana" w:hAnsi="Verdana" w:cs="Georgia"/>
          <w:color w:val="000000"/>
        </w:rPr>
      </w:pPr>
      <w:proofErr w:type="spellStart"/>
      <w:r w:rsidRPr="004D2D8F">
        <w:rPr>
          <w:rFonts w:ascii="Verdana" w:hAnsi="Verdana" w:cs="Georgia"/>
          <w:color w:val="252525"/>
        </w:rPr>
        <w:t>Hiq</w:t>
      </w:r>
      <w:proofErr w:type="spellEnd"/>
      <w:r w:rsidRPr="004D2D8F">
        <w:rPr>
          <w:rFonts w:ascii="Verdana" w:hAnsi="Verdana" w:cs="Georgia"/>
          <w:color w:val="252525"/>
        </w:rPr>
        <w:t xml:space="preserve"> Labs</w:t>
      </w:r>
      <w:r>
        <w:rPr>
          <w:rFonts w:ascii="Verdana" w:hAnsi="Verdana" w:cs="Georgia"/>
          <w:color w:val="252525"/>
        </w:rPr>
        <w:t xml:space="preserve"> v. </w:t>
      </w:r>
      <w:proofErr w:type="spellStart"/>
      <w:r w:rsidRPr="004D2D8F">
        <w:rPr>
          <w:rFonts w:ascii="Verdana" w:hAnsi="Verdana" w:cs="Georgia"/>
          <w:color w:val="252525"/>
        </w:rPr>
        <w:t>Linkedin</w:t>
      </w:r>
      <w:proofErr w:type="spellEnd"/>
      <w:r w:rsidRPr="004D2D8F">
        <w:rPr>
          <w:rFonts w:ascii="Verdana" w:hAnsi="Verdana" w:cs="Georgia"/>
          <w:color w:val="252525"/>
        </w:rPr>
        <w:t xml:space="preserve"> Corporation</w:t>
      </w:r>
      <w:r w:rsidR="00E420CA">
        <w:rPr>
          <w:rFonts w:ascii="Verdana" w:hAnsi="Verdana" w:cs="Georgia"/>
          <w:color w:val="252525"/>
        </w:rPr>
        <w:t xml:space="preserve"> [TIC]</w:t>
      </w:r>
    </w:p>
    <w:p w14:paraId="4CB61C55" w14:textId="7681FD14" w:rsidR="00586E12" w:rsidRPr="004D2D8F" w:rsidRDefault="00DE6F1B" w:rsidP="004D2D8F">
      <w:pPr>
        <w:widowControl w:val="0"/>
        <w:autoSpaceDE w:val="0"/>
        <w:autoSpaceDN w:val="0"/>
        <w:adjustRightInd w:val="0"/>
        <w:spacing w:after="0" w:line="240" w:lineRule="auto"/>
        <w:jc w:val="center"/>
        <w:rPr>
          <w:rFonts w:ascii="Verdana" w:hAnsi="Verdana" w:cs="Georgia"/>
          <w:color w:val="000000"/>
        </w:rPr>
      </w:pPr>
      <w:r w:rsidRPr="004D2D8F">
        <w:rPr>
          <w:rFonts w:ascii="Verdana" w:hAnsi="Verdana" w:cs="Georgia"/>
          <w:color w:val="000000"/>
        </w:rPr>
        <w:t>938 F.3d 985</w:t>
      </w:r>
      <w:r w:rsidR="004D2D8F">
        <w:rPr>
          <w:rFonts w:ascii="Verdana" w:hAnsi="Verdana" w:cs="Georgia"/>
          <w:color w:val="000000"/>
        </w:rPr>
        <w:t xml:space="preserve"> (</w:t>
      </w:r>
      <w:r w:rsidR="004D2D8F" w:rsidRPr="004D2D8F">
        <w:rPr>
          <w:rFonts w:ascii="Verdana" w:hAnsi="Verdana" w:cs="Georgia"/>
          <w:color w:val="000000"/>
        </w:rPr>
        <w:t>2019</w:t>
      </w:r>
      <w:r w:rsidR="004D2D8F">
        <w:rPr>
          <w:rFonts w:ascii="Verdana" w:hAnsi="Verdana" w:cs="Georgia"/>
          <w:color w:val="000000"/>
        </w:rPr>
        <w:t>)</w:t>
      </w:r>
      <w:bookmarkStart w:id="2" w:name="co_synopsis_1"/>
      <w:bookmarkStart w:id="3" w:name="co_anchor_I55b667d1f42b11eaaf228f22ef91b"/>
      <w:bookmarkEnd w:id="2"/>
      <w:bookmarkEnd w:id="3"/>
    </w:p>
    <w:p w14:paraId="0169C1D3" w14:textId="77777777" w:rsidR="00586E12" w:rsidRPr="004D2D8F" w:rsidRDefault="00DE6F1B">
      <w:pPr>
        <w:widowControl w:val="0"/>
        <w:autoSpaceDE w:val="0"/>
        <w:autoSpaceDN w:val="0"/>
        <w:adjustRightInd w:val="0"/>
        <w:spacing w:before="600" w:after="200" w:line="240" w:lineRule="auto"/>
        <w:jc w:val="center"/>
        <w:rPr>
          <w:rFonts w:ascii="Verdana" w:hAnsi="Verdana" w:cs="Times New Roman"/>
          <w:b/>
          <w:bCs/>
          <w:color w:val="000000"/>
        </w:rPr>
      </w:pPr>
      <w:r w:rsidRPr="004D2D8F">
        <w:rPr>
          <w:rFonts w:ascii="Verdana" w:hAnsi="Verdana" w:cs="Times New Roman"/>
          <w:b/>
          <w:bCs/>
          <w:color w:val="000000"/>
        </w:rPr>
        <w:t>OPINION</w:t>
      </w:r>
    </w:p>
    <w:p w14:paraId="40E82E56" w14:textId="77777777" w:rsidR="004D2D8F" w:rsidRDefault="00525B3A" w:rsidP="004D2D8F">
      <w:pPr>
        <w:widowControl w:val="0"/>
        <w:autoSpaceDE w:val="0"/>
        <w:autoSpaceDN w:val="0"/>
        <w:adjustRightInd w:val="0"/>
        <w:spacing w:before="200" w:after="200" w:line="240" w:lineRule="auto"/>
        <w:jc w:val="both"/>
        <w:rPr>
          <w:rFonts w:ascii="Verdana" w:hAnsi="Verdana" w:cs="Times New Roman"/>
          <w:color w:val="000000"/>
        </w:rPr>
      </w:pPr>
      <w:hyperlink r:id="rId8" w:history="1">
        <w:r w:rsidR="00DE6F1B" w:rsidRPr="004D2D8F">
          <w:rPr>
            <w:rFonts w:ascii="Verdana" w:hAnsi="Verdana" w:cs="Times New Roman"/>
            <w:color w:val="0000FF"/>
          </w:rPr>
          <w:t>BERZON</w:t>
        </w:r>
      </w:hyperlink>
      <w:r w:rsidR="00DE6F1B" w:rsidRPr="004D2D8F">
        <w:rPr>
          <w:rFonts w:ascii="Verdana" w:hAnsi="Verdana" w:cs="Times New Roman"/>
          <w:color w:val="000000"/>
        </w:rPr>
        <w:t>, Circuit Judge:</w:t>
      </w:r>
      <w:bookmarkStart w:id="4" w:name="co_pp_sp_506_989_1"/>
      <w:bookmarkEnd w:id="4"/>
    </w:p>
    <w:p w14:paraId="6B9E7FBD" w14:textId="50D9719B" w:rsidR="00586E12" w:rsidRPr="004D2D8F" w:rsidRDefault="00DE6F1B" w:rsidP="004D2D8F">
      <w:pPr>
        <w:widowControl w:val="0"/>
        <w:autoSpaceDE w:val="0"/>
        <w:autoSpaceDN w:val="0"/>
        <w:adjustRightInd w:val="0"/>
        <w:spacing w:before="200" w:after="200" w:line="240" w:lineRule="auto"/>
        <w:jc w:val="both"/>
        <w:rPr>
          <w:rFonts w:ascii="Verdana" w:hAnsi="Verdana" w:cs="Times New Roman"/>
          <w:color w:val="000000"/>
        </w:rPr>
      </w:pPr>
      <w:r w:rsidRPr="004D2D8F">
        <w:rPr>
          <w:rFonts w:ascii="Verdana" w:hAnsi="Verdana" w:cs="Times New Roman"/>
          <w:color w:val="000000"/>
        </w:rPr>
        <w:t xml:space="preserve">May LinkedIn, the professional networking website, prevent a competitor,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from collecting and using information that LinkedIn users have shared on their public profiles, available for viewing by anyone with a web browser?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 data analytics company, obtained a preliminary injunction forbidding LinkedIn from denying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access to publicly available LinkedIn member profiles. At this preliminary injunction stage, we do not resolve the companies’ legal dispute definitively, nor do we address all the claims and defenses they have pleaded in the district court. Instead, we focus on whether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raised serious questions on the merits of the factual and legal issues presented to us, as well as on the other requisites for preliminary relief.</w:t>
      </w:r>
      <w:bookmarkStart w:id="5" w:name="co_anchor_I55b75231f42b11eaaf228f22ef91b"/>
      <w:bookmarkEnd w:id="5"/>
    </w:p>
    <w:p w14:paraId="3A977976" w14:textId="77777777" w:rsidR="00586E12" w:rsidRPr="004D2D8F" w:rsidRDefault="00DE6F1B">
      <w:pPr>
        <w:widowControl w:val="0"/>
        <w:autoSpaceDE w:val="0"/>
        <w:autoSpaceDN w:val="0"/>
        <w:adjustRightInd w:val="0"/>
        <w:spacing w:before="600" w:after="200" w:line="240" w:lineRule="auto"/>
        <w:jc w:val="center"/>
        <w:rPr>
          <w:rFonts w:ascii="Verdana" w:hAnsi="Verdana" w:cs="Times New Roman"/>
          <w:b/>
          <w:bCs/>
          <w:color w:val="000000"/>
        </w:rPr>
      </w:pPr>
      <w:r w:rsidRPr="004D2D8F">
        <w:rPr>
          <w:rFonts w:ascii="Verdana" w:hAnsi="Verdana" w:cs="Times New Roman"/>
          <w:b/>
          <w:bCs/>
          <w:color w:val="000000"/>
        </w:rPr>
        <w:t>I.</w:t>
      </w:r>
    </w:p>
    <w:p w14:paraId="601B6AD3" w14:textId="60BC8CB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Founded in 2002, LinkedIn is a professional networking website with over 500 million members. Members post resumes and job listings and build professional “connections” with other members. LinkedIn </w:t>
      </w:r>
      <w:bookmarkStart w:id="6" w:name="co_pp_sp_506_990_1"/>
      <w:bookmarkEnd w:id="6"/>
      <w:r w:rsidRPr="004D2D8F">
        <w:rPr>
          <w:rFonts w:ascii="Verdana" w:hAnsi="Verdana" w:cs="Times New Roman"/>
          <w:color w:val="000000"/>
        </w:rPr>
        <w:t>specifically disclaims ownership of the information users post to their personal profiles: according to LinkedIn’s User Agreement, members own the content and information they submit or post to LinkedIn and grant LinkedIn only a non-exclusive license to “use, copy, modify, distribute, publish, and process” that information.</w:t>
      </w:r>
    </w:p>
    <w:p w14:paraId="16DDFB0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CF3A48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LinkedIn allows its members to choose among various privacy settings. Members can specify which portions of their profile are visible to the general public (that is, to both LinkedIn members and nonmembers), and which portions are visible only to direct connections, to the member’s “network” (consisting of LinkedIn members within three degrees of connectivity), or to all LinkedIn members.</w:t>
      </w:r>
      <w:bookmarkStart w:id="7" w:name="co_fnRef_B00032049136286_ID0E5RBG_1"/>
      <w:bookmarkEnd w:id="7"/>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"#co_footnote_B00032049136286_1"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w:t>
      </w:r>
      <w:r w:rsidRPr="004D2D8F">
        <w:rPr>
          <w:rFonts w:ascii="Verdana" w:hAnsi="Verdana" w:cs="Times New Roman"/>
          <w:color w:val="000000"/>
        </w:rPr>
        <w:fldChar w:fldCharType="end"/>
      </w:r>
      <w:r w:rsidRPr="004D2D8F">
        <w:rPr>
          <w:rFonts w:ascii="Verdana" w:hAnsi="Verdana" w:cs="Times New Roman"/>
          <w:color w:val="000000"/>
        </w:rPr>
        <w:t xml:space="preserve"> This case deals only with profiles made visible to the general public.</w:t>
      </w:r>
    </w:p>
    <w:p w14:paraId="09FC250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2925C17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LinkedIn also offers all members—whatever their profile privacy settings—a “Do Not Broadcast” option with respect to every change they make to their profiles. If a LinkedIn member selects this option, her connections will not be notified when she updates her profile information, although the updated information will still appear on her profile page (and thus be visible to anyone permitted to view her profile under her general privacy setting). More than 50 million LinkedIn members have, at some point, elected to employ the “Do Not Broadcast” feature, and approximately 20 percent of all active users who updated their profiles between July 2016 and July 2017—whatever their privacy setting—employed the “Do Not Broadcast” setting.</w:t>
      </w:r>
    </w:p>
    <w:p w14:paraId="287C6526"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lastRenderedPageBreak/>
        <w:t> </w:t>
      </w:r>
    </w:p>
    <w:p w14:paraId="474137FF" w14:textId="1F2D26A8"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LinkedIn has taken steps to protect the data on its website from what it perceives as misuse or misappropriation. The instructions in LinkedIn’s “robots.txt” file—a text file used by website owners to communicate with search engine crawlers and other web robots—prohibit access to LinkedIn servers via automated bots, except that certain entities, like the Google search engine, have express permission from LinkedIn for bot access.</w:t>
      </w:r>
      <w:bookmarkStart w:id="8" w:name="co_fnRef_B00042049136286_ID0EYTBG_1"/>
      <w:bookmarkEnd w:id="8"/>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"#co_footnote_B00042049136286_1"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2</w:t>
      </w:r>
      <w:r w:rsidRPr="004D2D8F">
        <w:rPr>
          <w:rFonts w:ascii="Verdana" w:hAnsi="Verdana" w:cs="Times New Roman"/>
          <w:color w:val="000000"/>
        </w:rPr>
        <w:fldChar w:fldCharType="end"/>
      </w:r>
      <w:r w:rsidRPr="004D2D8F">
        <w:rPr>
          <w:rFonts w:ascii="Verdana" w:hAnsi="Verdana" w:cs="Times New Roman"/>
          <w:color w:val="000000"/>
        </w:rPr>
        <w:t xml:space="preserve"> LinkedIn also employs several technological systems to detect suspicious activity and restrict automated </w:t>
      </w:r>
      <w:bookmarkStart w:id="9" w:name="co_pp_sp_506_991_1"/>
      <w:bookmarkEnd w:id="9"/>
      <w:r w:rsidRPr="004D2D8F">
        <w:rPr>
          <w:rFonts w:ascii="Verdana" w:hAnsi="Verdana" w:cs="Times New Roman"/>
          <w:color w:val="000000"/>
        </w:rPr>
        <w:t>scraping.</w:t>
      </w:r>
      <w:bookmarkStart w:id="10" w:name="co_fnRef_B00052049136286_ID0EHUBG_1"/>
      <w:bookmarkEnd w:id="10"/>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"#co_footnote_B00052049136286_1"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3</w:t>
      </w:r>
      <w:r w:rsidRPr="004D2D8F">
        <w:rPr>
          <w:rFonts w:ascii="Verdana" w:hAnsi="Verdana" w:cs="Times New Roman"/>
          <w:color w:val="000000"/>
        </w:rPr>
        <w:fldChar w:fldCharType="end"/>
      </w:r>
      <w:r w:rsidRPr="004D2D8F">
        <w:rPr>
          <w:rFonts w:ascii="Verdana" w:hAnsi="Verdana" w:cs="Times New Roman"/>
          <w:color w:val="000000"/>
        </w:rPr>
        <w:t xml:space="preserve"> For example, LinkedIn’s Quicksand system detects non-human activity indicative of scraping; its Sentinel system throttles (slows or limits) or even blocks activity from suspicious IP addresses;</w:t>
      </w:r>
      <w:bookmarkStart w:id="11" w:name="co_fnRef_B00062049136286_ID0ERUBG_1"/>
      <w:bookmarkEnd w:id="11"/>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"#co_footnote_B00062049136286_1"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4</w:t>
      </w:r>
      <w:r w:rsidRPr="004D2D8F">
        <w:rPr>
          <w:rFonts w:ascii="Verdana" w:hAnsi="Verdana" w:cs="Times New Roman"/>
          <w:color w:val="000000"/>
        </w:rPr>
        <w:fldChar w:fldCharType="end"/>
      </w:r>
      <w:r w:rsidRPr="004D2D8F">
        <w:rPr>
          <w:rFonts w:ascii="Verdana" w:hAnsi="Verdana" w:cs="Times New Roman"/>
          <w:color w:val="000000"/>
        </w:rPr>
        <w:t xml:space="preserve"> and its Org Block system generates a list of known “bad” IP addresses serving as large-scale scrapers. In total, LinkedIn blocks approximately 95 million automated attempts to scrape data every day, and has restricted over 11 million accounts suspected of violating its User Agreement,</w:t>
      </w:r>
      <w:bookmarkStart w:id="12" w:name="co_fnRef_B00072049136286_ID0E2UBG_1"/>
      <w:bookmarkEnd w:id="12"/>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"#co_footnote_B00072049136286_1"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5</w:t>
      </w:r>
      <w:r w:rsidRPr="004D2D8F">
        <w:rPr>
          <w:rFonts w:ascii="Verdana" w:hAnsi="Verdana" w:cs="Times New Roman"/>
          <w:color w:val="000000"/>
        </w:rPr>
        <w:fldChar w:fldCharType="end"/>
      </w:r>
      <w:r w:rsidRPr="004D2D8F">
        <w:rPr>
          <w:rFonts w:ascii="Verdana" w:hAnsi="Verdana" w:cs="Times New Roman"/>
          <w:color w:val="000000"/>
        </w:rPr>
        <w:t xml:space="preserve"> including through scraping.</w:t>
      </w:r>
    </w:p>
    <w:p w14:paraId="2C0E1FA2"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4E0563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is a data analytics company founded in 2012. Using automated bots, it scrapes information that LinkedIn users have included on public LinkedIn profiles, including name, job title, work history, and skills. It then uses that information, along with a proprietary predictive algorithm, to yield “people analytics,” which it sells to business clients.</w:t>
      </w:r>
    </w:p>
    <w:p w14:paraId="1D57E641"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0290B8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offers two such analytics. The first, Keeper, purports to identify employees at the greatest risk of being recruited away. According to </w:t>
      </w:r>
      <w:proofErr w:type="spellStart"/>
      <w:r w:rsidRPr="004D2D8F">
        <w:rPr>
          <w:rFonts w:ascii="Verdana" w:hAnsi="Verdana" w:cs="Times New Roman"/>
          <w:color w:val="000000"/>
        </w:rPr>
        <w:t>hiQ</w:t>
      </w:r>
      <w:proofErr w:type="spellEnd"/>
      <w:r w:rsidRPr="004D2D8F">
        <w:rPr>
          <w:rFonts w:ascii="Verdana" w:hAnsi="Verdana" w:cs="Times New Roman"/>
          <w:color w:val="000000"/>
        </w:rPr>
        <w:t>, the product enables employers to offer career development opportunities, retention bonuses, or other perks to retain valuable employees. The second, Skill Mapper, summarizes employees’ skills in the aggregate. Among other things, the tool is supposed to help employers identify skill gaps in their workforces so that they can offer internal training in those areas, promoting internal mobility and reducing the expense of external recruitment.</w:t>
      </w:r>
    </w:p>
    <w:p w14:paraId="51AC118F"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12A7AC8"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regularly organizes “Elevate” conferences, during which participants discuss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business model and share best practices in the people analytics field. LinkedIn representatives participated in Elevate conferences beginning in October 2015. At least ten LinkedIn representatives attended the conferences. LinkedIn employees have also spoken at Elevate conferences. In 2016, a LinkedIn employee was awarded the Elevate “Impact Award.” LinkedIn employees thus had an opportunity to learn about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products, including “that [one of]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product[s] used data from a variety of sources—internal and external—to predict employee attrition” and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“collected skills data from public professional profiles in order to provide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customers information about their employees’ skill sets.”</w:t>
      </w:r>
    </w:p>
    <w:p w14:paraId="65B530B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31A78BA" w14:textId="764D31BD"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In recent years, LinkedIn has explored ways to capitalize on the vast amounts of data contained in LinkedIn profiles by marketing new products. In June 2017, LinkedIn’s Chief Executive Officer (“CEO”), Jeff Weiner, appearing on CBS, explained that LinkedIn hoped to “leverage </w:t>
      </w:r>
      <w:bookmarkStart w:id="13" w:name="co_pp_sp_506_992_1"/>
      <w:bookmarkEnd w:id="13"/>
      <w:r w:rsidRPr="004D2D8F">
        <w:rPr>
          <w:rFonts w:ascii="Verdana" w:hAnsi="Verdana" w:cs="Times New Roman"/>
          <w:color w:val="000000"/>
        </w:rPr>
        <w:t>all this extraordinary data we’ve been able to collect by virtue of having 500 million people join the site.” Weiner mentioned as possibilities providing employers with data-driven insights about what skills they will need to grow and where they can find employees with those skills. Since then, LinkedIn has announced a new product, Talent Insights, which analyzes LinkedIn data to provide companies with such data-driven information.</w:t>
      </w:r>
      <w:bookmarkStart w:id="14" w:name="co_fnRef_B00082049136286_ID0EE5BG_1"/>
      <w:bookmarkEnd w:id="14"/>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"#co_footnote_B00082049136286_1"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6</w:t>
      </w:r>
      <w:r w:rsidRPr="004D2D8F">
        <w:rPr>
          <w:rFonts w:ascii="Verdana" w:hAnsi="Verdana" w:cs="Times New Roman"/>
          <w:color w:val="000000"/>
        </w:rPr>
        <w:fldChar w:fldCharType="end"/>
      </w:r>
    </w:p>
    <w:p w14:paraId="599663C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97E3B21"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lastRenderedPageBreak/>
        <w:t xml:space="preserve">In May 2017, LinkedIn sent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 cease-and-desist letter, asserting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was in violation of LinkedIn’s User Agreement and demanding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stop accessing and copying data from LinkedIn’s server. The letter stated that if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accessed LinkedIn’s data in the future, it would be violating state and federal law, including the Computer Fraud and Abuse Act (“CFAA”), the Digital Millennium Copyright Act (“DMCA”), </w:t>
      </w:r>
      <w:hyperlink r:id="rId9" w:anchor="co_pp_4b24000003ba5" w:history="1">
        <w:r w:rsidRPr="004D2D8F">
          <w:rPr>
            <w:rFonts w:ascii="Verdana" w:hAnsi="Verdana" w:cs="Times New Roman"/>
            <w:color w:val="0000FF"/>
          </w:rPr>
          <w:t>California Penal Code § 502(c)</w:t>
        </w:r>
      </w:hyperlink>
      <w:r w:rsidRPr="004D2D8F">
        <w:rPr>
          <w:rFonts w:ascii="Verdana" w:hAnsi="Verdana" w:cs="Times New Roman"/>
          <w:color w:val="000000"/>
        </w:rPr>
        <w:t xml:space="preserve">, and the California common law of trespass. The letter further stated that LinkedIn had “implemented technical measures to prevent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from accessing, and assisting others to access, LinkedIn’s site, through systems that detect, monitor, and block scraping activity.”</w:t>
      </w:r>
    </w:p>
    <w:p w14:paraId="7AAF5486"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34A9C7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response was to demand that LinkedIn recognize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right to access LinkedIn’s public pages and to threaten to seek an injunction if LinkedIn refused. A week later,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filed suit, seeking injunctive relief based on California law and a declaratory judgment that LinkedIn could not lawfully invoke the CFAA, the DMCA, </w:t>
      </w:r>
      <w:hyperlink r:id="rId10" w:anchor="co_pp_4b24000003ba5" w:history="1">
        <w:r w:rsidRPr="004D2D8F">
          <w:rPr>
            <w:rFonts w:ascii="Verdana" w:hAnsi="Verdana" w:cs="Times New Roman"/>
            <w:color w:val="0000FF"/>
          </w:rPr>
          <w:t>California Penal Code § 502(c)</w:t>
        </w:r>
      </w:hyperlink>
      <w:r w:rsidRPr="004D2D8F">
        <w:rPr>
          <w:rFonts w:ascii="Verdana" w:hAnsi="Verdana" w:cs="Times New Roman"/>
          <w:color w:val="000000"/>
        </w:rPr>
        <w:t xml:space="preserve">, or the common law of trespass against it.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also filed a request for a temporary restraining order, which the parties subsequently agreed to convert into a motion for a preliminary injunction.</w:t>
      </w:r>
    </w:p>
    <w:p w14:paraId="5061E1A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61A2AF1"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The district court granted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motion. It ordered LinkedIn to withdraw its cease-and-desist letter, to remove any existing technical barriers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access to public profiles, and to refrain from putting in place any legal or technical measures with the effect of blocking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access to public profiles. LinkedIn timely appealed.</w:t>
      </w:r>
    </w:p>
    <w:p w14:paraId="44EE3BA3"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0272BF20"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071AD91D"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bookmarkStart w:id="15" w:name="co_anchor_I55c2c3e1f42b11eaaf228f22ef91b"/>
      <w:bookmarkEnd w:id="15"/>
    </w:p>
    <w:p w14:paraId="2C07E0A4" w14:textId="77777777" w:rsidR="00586E12" w:rsidRPr="004D2D8F" w:rsidRDefault="00DE6F1B">
      <w:pPr>
        <w:widowControl w:val="0"/>
        <w:autoSpaceDE w:val="0"/>
        <w:autoSpaceDN w:val="0"/>
        <w:adjustRightInd w:val="0"/>
        <w:spacing w:before="600" w:after="200" w:line="240" w:lineRule="auto"/>
        <w:jc w:val="center"/>
        <w:rPr>
          <w:rFonts w:ascii="Verdana" w:hAnsi="Verdana" w:cs="Times New Roman"/>
          <w:b/>
          <w:bCs/>
          <w:color w:val="000000"/>
        </w:rPr>
      </w:pPr>
      <w:r w:rsidRPr="004D2D8F">
        <w:rPr>
          <w:rFonts w:ascii="Verdana" w:hAnsi="Verdana" w:cs="Times New Roman"/>
          <w:b/>
          <w:bCs/>
          <w:color w:val="000000"/>
        </w:rPr>
        <w:t>II.</w:t>
      </w:r>
    </w:p>
    <w:p w14:paraId="4541B967" w14:textId="4E44F382"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16" w:name="co_anchor_B12049136286_1"/>
      <w:bookmarkStart w:id="17" w:name="co_anchor_B22049136286_1"/>
      <w:bookmarkEnd w:id="16"/>
      <w:bookmarkEnd w:id="17"/>
      <w:r w:rsidRPr="004D2D8F">
        <w:rPr>
          <w:rFonts w:ascii="Verdana" w:hAnsi="Verdana" w:cs="Times New Roman"/>
          <w:color w:val="000000"/>
        </w:rPr>
        <w:t xml:space="preserve">“A plaintiff seeking a preliminary injunction must establish that he is likely to succeed on the merits, that he is likely to suffer irreparable harm in the absence of preliminary relief, that the balance of equities tips in his favor, and that an injunction is in the public interest.” </w:t>
      </w:r>
      <w:r w:rsidR="004D2D8F" w:rsidRPr="004D2D8F">
        <w:rPr>
          <w:rFonts w:ascii="Verdana" w:hAnsi="Verdana" w:cs="Times New Roman"/>
          <w:noProof/>
          <w:color w:val="000000"/>
        </w:rPr>
        <w:drawing>
          <wp:inline distT="0" distB="0" distL="0" distR="0" wp14:anchorId="1C46159F" wp14:editId="2E13F258">
            <wp:extent cx="160020" cy="16002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13" w:anchor="co_pp_sp_780_20" w:history="1">
        <w:r w:rsidRPr="004D2D8F">
          <w:rPr>
            <w:rFonts w:ascii="Verdana" w:hAnsi="Verdana" w:cs="Times New Roman"/>
            <w:i/>
            <w:iCs/>
            <w:color w:val="0000FF"/>
          </w:rPr>
          <w:t>Winter v. Nat. Res. Def. Council, Inc.</w:t>
        </w:r>
        <w:r w:rsidRPr="004D2D8F">
          <w:rPr>
            <w:rFonts w:ascii="Verdana" w:hAnsi="Verdana" w:cs="Times New Roman"/>
            <w:color w:val="0000FF"/>
          </w:rPr>
          <w:t xml:space="preserve">, 555 U.S. 7, 20, 129 </w:t>
        </w:r>
        <w:proofErr w:type="spellStart"/>
        <w:r w:rsidRPr="004D2D8F">
          <w:rPr>
            <w:rFonts w:ascii="Verdana" w:hAnsi="Verdana" w:cs="Times New Roman"/>
            <w:color w:val="0000FF"/>
          </w:rPr>
          <w:t>S.Ct</w:t>
        </w:r>
        <w:proofErr w:type="spellEnd"/>
        <w:r w:rsidRPr="004D2D8F">
          <w:rPr>
            <w:rFonts w:ascii="Verdana" w:hAnsi="Verdana" w:cs="Times New Roman"/>
            <w:color w:val="0000FF"/>
          </w:rPr>
          <w:t>. 365, 172 L.Ed.2d 249 (2008)</w:t>
        </w:r>
      </w:hyperlink>
      <w:r w:rsidRPr="004D2D8F">
        <w:rPr>
          <w:rFonts w:ascii="Verdana" w:hAnsi="Verdana" w:cs="Times New Roman"/>
          <w:color w:val="000000"/>
        </w:rPr>
        <w:t xml:space="preserve">. All four elements must be satisfied. </w:t>
      </w:r>
      <w:r w:rsidRPr="004D2D8F">
        <w:rPr>
          <w:rFonts w:ascii="Verdana" w:hAnsi="Verdana" w:cs="Times New Roman"/>
          <w:i/>
          <w:iCs/>
          <w:color w:val="000000"/>
        </w:rPr>
        <w:t>See, e.g.</w:t>
      </w:r>
      <w:r w:rsidRPr="004D2D8F">
        <w:rPr>
          <w:rFonts w:ascii="Verdana" w:hAnsi="Verdana" w:cs="Times New Roman"/>
          <w:color w:val="000000"/>
        </w:rPr>
        <w:t xml:space="preserve">, </w:t>
      </w:r>
      <w:r w:rsidR="004D2D8F" w:rsidRPr="004D2D8F">
        <w:rPr>
          <w:rFonts w:ascii="Verdana" w:hAnsi="Verdana" w:cs="Times New Roman"/>
          <w:noProof/>
          <w:color w:val="000000"/>
        </w:rPr>
        <w:drawing>
          <wp:inline distT="0" distB="0" distL="0" distR="0" wp14:anchorId="47B841DD" wp14:editId="08A6A1B1">
            <wp:extent cx="160020" cy="16002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15" w:anchor="co_pp_sp_506_1057" w:history="1">
        <w:r w:rsidRPr="004D2D8F">
          <w:rPr>
            <w:rFonts w:ascii="Verdana" w:hAnsi="Verdana" w:cs="Times New Roman"/>
            <w:i/>
            <w:iCs/>
            <w:color w:val="0000FF"/>
          </w:rPr>
          <w:t xml:space="preserve">Am. Trucking </w:t>
        </w:r>
        <w:proofErr w:type="spellStart"/>
        <w:r w:rsidRPr="004D2D8F">
          <w:rPr>
            <w:rFonts w:ascii="Verdana" w:hAnsi="Verdana" w:cs="Times New Roman"/>
            <w:i/>
            <w:iCs/>
            <w:color w:val="0000FF"/>
          </w:rPr>
          <w:t>Ass’n</w:t>
        </w:r>
        <w:proofErr w:type="spellEnd"/>
        <w:r w:rsidRPr="004D2D8F">
          <w:rPr>
            <w:rFonts w:ascii="Verdana" w:hAnsi="Verdana" w:cs="Times New Roman"/>
            <w:i/>
            <w:iCs/>
            <w:color w:val="0000FF"/>
          </w:rPr>
          <w:t xml:space="preserve"> v. City of Los Angeles</w:t>
        </w:r>
        <w:r w:rsidRPr="004D2D8F">
          <w:rPr>
            <w:rFonts w:ascii="Verdana" w:hAnsi="Verdana" w:cs="Times New Roman"/>
            <w:color w:val="0000FF"/>
          </w:rPr>
          <w:t>, 559 F.3d 1046, 1057 (9th Cir. 2009)</w:t>
        </w:r>
      </w:hyperlink>
      <w:r w:rsidRPr="004D2D8F">
        <w:rPr>
          <w:rFonts w:ascii="Verdana" w:hAnsi="Verdana" w:cs="Times New Roman"/>
          <w:color w:val="000000"/>
        </w:rPr>
        <w:t xml:space="preserve">. We use a “sliding scale” approach to these factors, according to which “a stronger showing of one element may offset a weaker showing of another.” </w:t>
      </w:r>
      <w:r w:rsidR="004D2D8F" w:rsidRPr="004D2D8F">
        <w:rPr>
          <w:rFonts w:ascii="Verdana" w:hAnsi="Verdana" w:cs="Times New Roman"/>
          <w:noProof/>
          <w:color w:val="000000"/>
        </w:rPr>
        <w:drawing>
          <wp:inline distT="0" distB="0" distL="0" distR="0" wp14:anchorId="02C3919B" wp14:editId="0C30F120">
            <wp:extent cx="160020" cy="160020"/>
            <wp:effectExtent l="0" t="0" r="0" b="0"/>
            <wp:docPr id="6"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17" w:anchor="co_pp_sp_506_1131" w:history="1">
        <w:r w:rsidRPr="004D2D8F">
          <w:rPr>
            <w:rFonts w:ascii="Verdana" w:hAnsi="Verdana" w:cs="Times New Roman"/>
            <w:i/>
            <w:iCs/>
            <w:color w:val="0000FF"/>
          </w:rPr>
          <w:t>Alliance for the Wild Rockies v. Cottrell</w:t>
        </w:r>
        <w:r w:rsidRPr="004D2D8F">
          <w:rPr>
            <w:rFonts w:ascii="Verdana" w:hAnsi="Verdana" w:cs="Times New Roman"/>
            <w:color w:val="0000FF"/>
          </w:rPr>
          <w:t>, 632 F.3d 1127, 1131 (9th Cir. 2011)</w:t>
        </w:r>
      </w:hyperlink>
      <w:r w:rsidRPr="004D2D8F">
        <w:rPr>
          <w:rFonts w:ascii="Verdana" w:hAnsi="Verdana" w:cs="Times New Roman"/>
          <w:color w:val="000000"/>
        </w:rPr>
        <w:t xml:space="preserve">. So, when the balance of hardships tips sharply in the plaintiff’s favor, the plaintiff need demonstrate only “serious questions going to the merits.” </w:t>
      </w:r>
      <w:r w:rsidR="004D2D8F" w:rsidRPr="004D2D8F">
        <w:rPr>
          <w:rFonts w:ascii="Verdana" w:hAnsi="Verdana" w:cs="Times New Roman"/>
          <w:noProof/>
          <w:color w:val="000000"/>
        </w:rPr>
        <w:drawing>
          <wp:inline distT="0" distB="0" distL="0" distR="0" wp14:anchorId="23B5A461" wp14:editId="71ACBBB9">
            <wp:extent cx="160020" cy="160020"/>
            <wp:effectExtent l="0" t="0" r="0" b="0"/>
            <wp:docPr id="7" name="Picture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18" w:anchor="co_pp_sp_506_1135" w:history="1">
        <w:r w:rsidRPr="004D2D8F">
          <w:rPr>
            <w:rFonts w:ascii="Verdana" w:hAnsi="Verdana" w:cs="Times New Roman"/>
            <w:i/>
            <w:iCs/>
            <w:color w:val="0000FF"/>
          </w:rPr>
          <w:t>Id.</w:t>
        </w:r>
        <w:r w:rsidRPr="004D2D8F">
          <w:rPr>
            <w:rFonts w:ascii="Verdana" w:hAnsi="Verdana" w:cs="Times New Roman"/>
            <w:color w:val="0000FF"/>
          </w:rPr>
          <w:t xml:space="preserve"> at 1135</w:t>
        </w:r>
      </w:hyperlink>
      <w:r w:rsidRPr="004D2D8F">
        <w:rPr>
          <w:rFonts w:ascii="Verdana" w:hAnsi="Verdana" w:cs="Times New Roman"/>
          <w:color w:val="000000"/>
        </w:rPr>
        <w:t>.</w:t>
      </w:r>
    </w:p>
    <w:p w14:paraId="05727A1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3C2F2CB" w14:textId="5650C5AB"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18" w:name="co_anchor_B32049136286_1"/>
      <w:bookmarkStart w:id="19" w:name="co_anchor_B42049136286_1"/>
      <w:bookmarkEnd w:id="18"/>
      <w:bookmarkEnd w:id="19"/>
      <w:r w:rsidRPr="004D2D8F">
        <w:rPr>
          <w:rFonts w:ascii="Verdana" w:hAnsi="Verdana" w:cs="Times New Roman"/>
          <w:color w:val="000000"/>
        </w:rPr>
        <w:t xml:space="preserve">Applying that sliding scale approach, the district court granted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 preliminary injunction, concluding that the </w:t>
      </w:r>
      <w:bookmarkStart w:id="20" w:name="co_pp_sp_506_993_1"/>
      <w:bookmarkEnd w:id="20"/>
      <w:r w:rsidRPr="004D2D8F">
        <w:rPr>
          <w:rFonts w:ascii="Verdana" w:hAnsi="Verdana" w:cs="Times New Roman"/>
          <w:color w:val="000000"/>
        </w:rPr>
        <w:t xml:space="preserve">balance of hardships tips sharply in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favor and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raised serious questions on the merits. We review the district court’s decision to grant a preliminary injunction for abuse of discretion. The grant of a preliminary injunction constitutes an abuse of discretion if the district court’s evaluation or balancing of the pertinent factors is “illogical, implausible, or without support in the record.” </w:t>
      </w:r>
      <w:hyperlink r:id="rId19" w:anchor="co_pp_sp_506_713" w:history="1">
        <w:r w:rsidRPr="004D2D8F">
          <w:rPr>
            <w:rFonts w:ascii="Verdana" w:hAnsi="Verdana" w:cs="Times New Roman"/>
            <w:i/>
            <w:iCs/>
            <w:color w:val="0000FF"/>
          </w:rPr>
          <w:t>Doe v. Kelly</w:t>
        </w:r>
        <w:r w:rsidRPr="004D2D8F">
          <w:rPr>
            <w:rFonts w:ascii="Verdana" w:hAnsi="Verdana" w:cs="Times New Roman"/>
            <w:color w:val="0000FF"/>
          </w:rPr>
          <w:t>, 878 F.3d 710, 713 (9th Cir. 2017)</w:t>
        </w:r>
      </w:hyperlink>
      <w:r w:rsidRPr="004D2D8F">
        <w:rPr>
          <w:rFonts w:ascii="Verdana" w:hAnsi="Verdana" w:cs="Times New Roman"/>
          <w:color w:val="000000"/>
        </w:rPr>
        <w:t>.</w:t>
      </w:r>
    </w:p>
    <w:p w14:paraId="38E903D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E44AAB0"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0B551781"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bookmarkStart w:id="21" w:name="co_anchor_I55c50dd1f42b11eaaf228f22ef91b"/>
      <w:bookmarkEnd w:id="21"/>
    </w:p>
    <w:p w14:paraId="5A73631D" w14:textId="77777777" w:rsidR="00586E12" w:rsidRPr="004D2D8F" w:rsidRDefault="00DE6F1B">
      <w:pPr>
        <w:widowControl w:val="0"/>
        <w:autoSpaceDE w:val="0"/>
        <w:autoSpaceDN w:val="0"/>
        <w:adjustRightInd w:val="0"/>
        <w:spacing w:before="400" w:after="0" w:line="240" w:lineRule="auto"/>
        <w:ind w:left="200"/>
        <w:rPr>
          <w:rFonts w:ascii="Verdana" w:hAnsi="Verdana" w:cs="Times New Roman"/>
          <w:b/>
          <w:bCs/>
          <w:color w:val="000000"/>
        </w:rPr>
      </w:pPr>
      <w:r w:rsidRPr="004D2D8F">
        <w:rPr>
          <w:rFonts w:ascii="Verdana" w:hAnsi="Verdana" w:cs="Times New Roman"/>
          <w:b/>
          <w:bCs/>
          <w:color w:val="000000"/>
        </w:rPr>
        <w:t>A. Irreparable Harm</w:t>
      </w:r>
    </w:p>
    <w:p w14:paraId="17AE32A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We begin with the likelihood of irreparable injury to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if preliminary relief were not granted.</w:t>
      </w:r>
    </w:p>
    <w:p w14:paraId="10DA8983"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2ADA33B1" w14:textId="6FD0B276"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22" w:name="co_anchor_B52049136286_1"/>
      <w:bookmarkStart w:id="23" w:name="co_anchor_B62049136286_1"/>
      <w:bookmarkStart w:id="24" w:name="co_anchor_B72049136286_1"/>
      <w:bookmarkStart w:id="25" w:name="co_anchor_B82049136286_1"/>
      <w:bookmarkEnd w:id="22"/>
      <w:bookmarkEnd w:id="23"/>
      <w:bookmarkEnd w:id="24"/>
      <w:bookmarkEnd w:id="25"/>
      <w:r w:rsidRPr="004D2D8F">
        <w:rPr>
          <w:rFonts w:ascii="Verdana" w:hAnsi="Verdana" w:cs="Times New Roman"/>
          <w:color w:val="000000"/>
        </w:rPr>
        <w:t>“[M]</w:t>
      </w:r>
      <w:proofErr w:type="spellStart"/>
      <w:r w:rsidRPr="004D2D8F">
        <w:rPr>
          <w:rFonts w:ascii="Verdana" w:hAnsi="Verdana" w:cs="Times New Roman"/>
          <w:color w:val="000000"/>
        </w:rPr>
        <w:t>onetary</w:t>
      </w:r>
      <w:proofErr w:type="spellEnd"/>
      <w:r w:rsidRPr="004D2D8F">
        <w:rPr>
          <w:rFonts w:ascii="Verdana" w:hAnsi="Verdana" w:cs="Times New Roman"/>
          <w:color w:val="000000"/>
        </w:rPr>
        <w:t xml:space="preserve"> injury is not normally considered irreparable.” </w:t>
      </w:r>
      <w:r w:rsidR="004D2D8F" w:rsidRPr="004D2D8F">
        <w:rPr>
          <w:rFonts w:ascii="Verdana" w:hAnsi="Verdana" w:cs="Times New Roman"/>
          <w:noProof/>
          <w:color w:val="000000"/>
        </w:rPr>
        <w:drawing>
          <wp:inline distT="0" distB="0" distL="0" distR="0" wp14:anchorId="0A6FD225" wp14:editId="463EBC75">
            <wp:extent cx="160020" cy="160020"/>
            <wp:effectExtent l="0" t="0" r="0" b="0"/>
            <wp:docPr id="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21" w:anchor="co_pp_sp_350_1202" w:history="1">
        <w:r w:rsidRPr="004D2D8F">
          <w:rPr>
            <w:rFonts w:ascii="Verdana" w:hAnsi="Verdana" w:cs="Times New Roman"/>
            <w:i/>
            <w:iCs/>
            <w:color w:val="0000FF"/>
          </w:rPr>
          <w:t xml:space="preserve">Los Angeles </w:t>
        </w:r>
        <w:proofErr w:type="spellStart"/>
        <w:r w:rsidRPr="004D2D8F">
          <w:rPr>
            <w:rFonts w:ascii="Verdana" w:hAnsi="Verdana" w:cs="Times New Roman"/>
            <w:i/>
            <w:iCs/>
            <w:color w:val="0000FF"/>
          </w:rPr>
          <w:t>Mem’l</w:t>
        </w:r>
        <w:proofErr w:type="spellEnd"/>
        <w:r w:rsidRPr="004D2D8F">
          <w:rPr>
            <w:rFonts w:ascii="Verdana" w:hAnsi="Verdana" w:cs="Times New Roman"/>
            <w:i/>
            <w:iCs/>
            <w:color w:val="0000FF"/>
          </w:rPr>
          <w:t xml:space="preserve"> Coliseum Comm’n v. </w:t>
        </w:r>
        <w:proofErr w:type="spellStart"/>
        <w:r w:rsidRPr="004D2D8F">
          <w:rPr>
            <w:rFonts w:ascii="Verdana" w:hAnsi="Verdana" w:cs="Times New Roman"/>
            <w:i/>
            <w:iCs/>
            <w:color w:val="0000FF"/>
          </w:rPr>
          <w:t>Nat’l</w:t>
        </w:r>
        <w:proofErr w:type="spellEnd"/>
        <w:r w:rsidRPr="004D2D8F">
          <w:rPr>
            <w:rFonts w:ascii="Verdana" w:hAnsi="Verdana" w:cs="Times New Roman"/>
            <w:i/>
            <w:iCs/>
            <w:color w:val="0000FF"/>
          </w:rPr>
          <w:t xml:space="preserve"> Football League</w:t>
        </w:r>
        <w:r w:rsidRPr="004D2D8F">
          <w:rPr>
            <w:rFonts w:ascii="Verdana" w:hAnsi="Verdana" w:cs="Times New Roman"/>
            <w:color w:val="0000FF"/>
          </w:rPr>
          <w:t>, 634 F.2d 1197, 1202 (9th Cir. 1980)</w:t>
        </w:r>
      </w:hyperlink>
      <w:r w:rsidRPr="004D2D8F">
        <w:rPr>
          <w:rFonts w:ascii="Verdana" w:hAnsi="Verdana" w:cs="Times New Roman"/>
          <w:color w:val="000000"/>
        </w:rPr>
        <w:t xml:space="preserve">. Nonetheless, “[t]he </w:t>
      </w:r>
      <w:proofErr w:type="gramStart"/>
      <w:r w:rsidRPr="004D2D8F">
        <w:rPr>
          <w:rFonts w:ascii="Verdana" w:hAnsi="Verdana" w:cs="Times New Roman"/>
          <w:color w:val="000000"/>
        </w:rPr>
        <w:t>threat</w:t>
      </w:r>
      <w:proofErr w:type="gramEnd"/>
      <w:r w:rsidRPr="004D2D8F">
        <w:rPr>
          <w:rFonts w:ascii="Verdana" w:hAnsi="Verdana" w:cs="Times New Roman"/>
          <w:color w:val="000000"/>
        </w:rPr>
        <w:t xml:space="preserve"> of being driven out of business is sufficient to establish irreparable harm.” </w:t>
      </w:r>
      <w:hyperlink r:id="rId22" w:anchor="co_pp_sp_350_1474" w:history="1">
        <w:r w:rsidRPr="004D2D8F">
          <w:rPr>
            <w:rFonts w:ascii="Verdana" w:hAnsi="Verdana" w:cs="Times New Roman"/>
            <w:i/>
            <w:iCs/>
            <w:color w:val="0000FF"/>
          </w:rPr>
          <w:t>Am. Passage Media Corp. v. Cass Commc’ns, Inc.</w:t>
        </w:r>
        <w:r w:rsidRPr="004D2D8F">
          <w:rPr>
            <w:rFonts w:ascii="Verdana" w:hAnsi="Verdana" w:cs="Times New Roman"/>
            <w:color w:val="0000FF"/>
          </w:rPr>
          <w:t>, 750 F.2d 1470, 1474 (9th Cir. 1985)</w:t>
        </w:r>
      </w:hyperlink>
      <w:r w:rsidRPr="004D2D8F">
        <w:rPr>
          <w:rFonts w:ascii="Verdana" w:hAnsi="Verdana" w:cs="Times New Roman"/>
          <w:color w:val="000000"/>
        </w:rPr>
        <w:t xml:space="preserve">. As the Second Circuit has explained, “[t]he loss of ... an ongoing business representing many years of effort and the livelihood of its ... owners, constitutes irreparable harm. What plaintiff stands to lose cannot be fully compensated by subsequent monetary damages.” </w:t>
      </w:r>
      <w:r w:rsidR="004D2D8F" w:rsidRPr="004D2D8F">
        <w:rPr>
          <w:rFonts w:ascii="Verdana" w:hAnsi="Verdana" w:cs="Times New Roman"/>
          <w:noProof/>
          <w:color w:val="000000"/>
        </w:rPr>
        <w:drawing>
          <wp:inline distT="0" distB="0" distL="0" distR="0" wp14:anchorId="7EDD82B2" wp14:editId="5F53F132">
            <wp:extent cx="160020" cy="160020"/>
            <wp:effectExtent l="0" t="0" r="0" b="0"/>
            <wp:docPr id="9"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24" w:anchor="co_pp_sp_350_125" w:history="1">
        <w:proofErr w:type="spellStart"/>
        <w:r w:rsidRPr="004D2D8F">
          <w:rPr>
            <w:rFonts w:ascii="Verdana" w:hAnsi="Verdana" w:cs="Times New Roman"/>
            <w:i/>
            <w:iCs/>
            <w:color w:val="0000FF"/>
          </w:rPr>
          <w:t>Roso</w:t>
        </w:r>
        <w:proofErr w:type="spellEnd"/>
        <w:r w:rsidRPr="004D2D8F">
          <w:rPr>
            <w:rFonts w:ascii="Verdana" w:hAnsi="Verdana" w:cs="Times New Roman"/>
            <w:i/>
            <w:iCs/>
            <w:color w:val="0000FF"/>
          </w:rPr>
          <w:t>–Lino Beverage Distributors, Inc. v. Coca–Cola Bottling Co. of New York, Inc.</w:t>
        </w:r>
        <w:r w:rsidRPr="004D2D8F">
          <w:rPr>
            <w:rFonts w:ascii="Verdana" w:hAnsi="Verdana" w:cs="Times New Roman"/>
            <w:color w:val="0000FF"/>
          </w:rPr>
          <w:t>, 749 F.2d 124, 125–26 (2d Cir. 1984)</w:t>
        </w:r>
      </w:hyperlink>
      <w:r w:rsidRPr="004D2D8F">
        <w:rPr>
          <w:rFonts w:ascii="Verdana" w:hAnsi="Verdana" w:cs="Times New Roman"/>
          <w:color w:val="000000"/>
        </w:rPr>
        <w:t xml:space="preserve"> (per </w:t>
      </w:r>
      <w:proofErr w:type="spellStart"/>
      <w:r w:rsidRPr="004D2D8F">
        <w:rPr>
          <w:rFonts w:ascii="Verdana" w:hAnsi="Verdana" w:cs="Times New Roman"/>
          <w:color w:val="000000"/>
        </w:rPr>
        <w:t>curiam</w:t>
      </w:r>
      <w:proofErr w:type="spellEnd"/>
      <w:r w:rsidRPr="004D2D8F">
        <w:rPr>
          <w:rFonts w:ascii="Verdana" w:hAnsi="Verdana" w:cs="Times New Roman"/>
          <w:color w:val="000000"/>
        </w:rPr>
        <w:t xml:space="preserve">). Thus, showing a threat of “extinction” is enough to establish irreparable harm, even when damages may be available and the amount of direct financial harm is ascertainable. </w:t>
      </w:r>
      <w:hyperlink r:id="rId25" w:anchor="co_pp_sp_350_1474" w:history="1">
        <w:r w:rsidRPr="004D2D8F">
          <w:rPr>
            <w:rFonts w:ascii="Verdana" w:hAnsi="Verdana" w:cs="Times New Roman"/>
            <w:i/>
            <w:iCs/>
            <w:color w:val="0000FF"/>
          </w:rPr>
          <w:t>Am. Passage Media Corp.</w:t>
        </w:r>
        <w:r w:rsidRPr="004D2D8F">
          <w:rPr>
            <w:rFonts w:ascii="Verdana" w:hAnsi="Verdana" w:cs="Times New Roman"/>
            <w:color w:val="0000FF"/>
          </w:rPr>
          <w:t>, 750 F.2d at 1474</w:t>
        </w:r>
      </w:hyperlink>
      <w:r w:rsidRPr="004D2D8F">
        <w:rPr>
          <w:rFonts w:ascii="Verdana" w:hAnsi="Verdana" w:cs="Times New Roman"/>
          <w:color w:val="000000"/>
        </w:rPr>
        <w:t>.</w:t>
      </w:r>
    </w:p>
    <w:p w14:paraId="0FFDE39F"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A1207D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26" w:name="co_anchor_B92049136286_1"/>
      <w:bookmarkEnd w:id="26"/>
      <w:r w:rsidRPr="004D2D8F">
        <w:rPr>
          <w:rFonts w:ascii="Verdana" w:hAnsi="Verdana" w:cs="Times New Roman"/>
          <w:color w:val="000000"/>
        </w:rPr>
        <w:t xml:space="preserve">The district court found credible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assertion that the survival of its business is threatened absent a preliminary injunction. The record provides ample support for that finding.</w:t>
      </w:r>
    </w:p>
    <w:p w14:paraId="40C32B4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A6025C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According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CEO,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entire business depends on being able to access public LinkedIn member profiles,” as “there is no current viable alternative to LinkedIn’s member database to obtain data for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Keeper and Skill Mapper services.” Without access to LinkedIn public profile data, the CEO averred,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will likely be forced to breach its existing contracts with clients such as eBay, Capital One, and GoDaddy, and to pass up pending deals with prospective clients. The harm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faces absent a preliminary injunction is not purely hypothetical.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was in the middle of a financing round when it received LinkedIn’s cease-and-desist letter. The CEO reported that, in light of the uncertainty about the future viability of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business, that financing round stalled, and several employees left the company. If LinkedIn prevails,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CEO further asserted,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would have to “lay off most if not all its employees, and shutter its operations.”</w:t>
      </w:r>
    </w:p>
    <w:p w14:paraId="7595F4BE"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4DB18BC"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LinkedIn maintains that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business model does not depend on access to LinkedIn data. It insists that alternatives to LinkedIn data exist, and points in particular to the professional data some users post on Facebook. But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model depends on access to publicly available data from people who choose to share their information with the world. Facebook data, by contrast, is not generally accessible, </w:t>
      </w:r>
      <w:r w:rsidRPr="004D2D8F">
        <w:rPr>
          <w:rFonts w:ascii="Verdana" w:hAnsi="Verdana" w:cs="Times New Roman"/>
          <w:i/>
          <w:iCs/>
          <w:color w:val="000000"/>
        </w:rPr>
        <w:t>see infra</w:t>
      </w:r>
      <w:r w:rsidRPr="004D2D8F">
        <w:rPr>
          <w:rFonts w:ascii="Verdana" w:hAnsi="Verdana" w:cs="Times New Roman"/>
          <w:color w:val="000000"/>
        </w:rPr>
        <w:t xml:space="preserve"> p. 1002, and therefore is not an equivalent alternative source of data.</w:t>
      </w:r>
    </w:p>
    <w:p w14:paraId="3450939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23A5FD9" w14:textId="5BB74DD9"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LinkedIn also urges that even if there is no adequate alternative database,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could collect its own data through employee surveys. But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is a data analytics company, not a data collection company. Suggesting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could fundamentally change the nature of its business, not simply the manner in which it conducts its current business, is a recognition that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current business could not survive without access to LinkedIn public profile data. Creating a data collection system </w:t>
      </w:r>
      <w:bookmarkStart w:id="27" w:name="co_pp_sp_506_994_1"/>
      <w:bookmarkEnd w:id="27"/>
      <w:r w:rsidRPr="004D2D8F">
        <w:rPr>
          <w:rFonts w:ascii="Verdana" w:hAnsi="Verdana" w:cs="Times New Roman"/>
          <w:color w:val="000000"/>
        </w:rPr>
        <w:t xml:space="preserve">would undoubtedly require a considerable amount of time and expense.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could feasibly remain in business with no products to sell while </w:t>
      </w:r>
      <w:r w:rsidRPr="004D2D8F">
        <w:rPr>
          <w:rFonts w:ascii="Verdana" w:hAnsi="Verdana" w:cs="Times New Roman"/>
          <w:color w:val="000000"/>
        </w:rPr>
        <w:lastRenderedPageBreak/>
        <w:t>raising the required capital and devising and implementing an entirely new data collection system is at least highly dubious.</w:t>
      </w:r>
    </w:p>
    <w:p w14:paraId="647BBB7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9D3571C"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In short, the district court did not abuse its discretion in concluding on the preliminary injunction record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currently has no viable way to remain in business other than using LinkedIn public profile data for its Keeper and Skill Mapper services, and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therefore has demonstrated a likelihood of irreparable harm absent a preliminary injunction.</w:t>
      </w:r>
    </w:p>
    <w:p w14:paraId="785991CD" w14:textId="2EC25D00"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bookmarkStart w:id="28" w:name="co_anchor_I55c9a1b1f42b11eaaf228f22ef91b"/>
      <w:bookmarkEnd w:id="28"/>
    </w:p>
    <w:p w14:paraId="1F3B50D9" w14:textId="77777777" w:rsidR="00586E12" w:rsidRPr="004D2D8F" w:rsidRDefault="00DE6F1B">
      <w:pPr>
        <w:widowControl w:val="0"/>
        <w:autoSpaceDE w:val="0"/>
        <w:autoSpaceDN w:val="0"/>
        <w:adjustRightInd w:val="0"/>
        <w:spacing w:before="400" w:after="0" w:line="240" w:lineRule="auto"/>
        <w:ind w:left="200"/>
        <w:rPr>
          <w:rFonts w:ascii="Verdana" w:hAnsi="Verdana" w:cs="Times New Roman"/>
          <w:b/>
          <w:bCs/>
          <w:color w:val="000000"/>
        </w:rPr>
      </w:pPr>
      <w:r w:rsidRPr="004D2D8F">
        <w:rPr>
          <w:rFonts w:ascii="Verdana" w:hAnsi="Verdana" w:cs="Times New Roman"/>
          <w:b/>
          <w:bCs/>
          <w:color w:val="000000"/>
        </w:rPr>
        <w:t>B. Balance of the Equities</w:t>
      </w:r>
    </w:p>
    <w:p w14:paraId="4199538C" w14:textId="590C200E"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29" w:name="co_anchor_B102049136286_1"/>
      <w:bookmarkEnd w:id="29"/>
      <w:r w:rsidRPr="004D2D8F">
        <w:rPr>
          <w:rFonts w:ascii="Verdana" w:hAnsi="Verdana" w:cs="Times New Roman"/>
          <w:color w:val="000000"/>
        </w:rPr>
        <w:t xml:space="preserve">Next, the district court “balance[d] the interests of all parties and weigh[ed] the damage to each in determining the balance of the equities.” </w:t>
      </w:r>
      <w:r w:rsidR="004D2D8F" w:rsidRPr="004D2D8F">
        <w:rPr>
          <w:rFonts w:ascii="Verdana" w:hAnsi="Verdana" w:cs="Times New Roman"/>
          <w:noProof/>
          <w:color w:val="000000"/>
        </w:rPr>
        <w:drawing>
          <wp:inline distT="0" distB="0" distL="0" distR="0" wp14:anchorId="12EBDBC8" wp14:editId="2F5B34FA">
            <wp:extent cx="160020" cy="160020"/>
            <wp:effectExtent l="0" t="0" r="0" b="0"/>
            <wp:docPr id="10" name="Picture 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27" w:anchor="co_pp_sp_506_852" w:history="1">
        <w:r w:rsidRPr="004D2D8F">
          <w:rPr>
            <w:rFonts w:ascii="Verdana" w:hAnsi="Verdana" w:cs="Times New Roman"/>
            <w:i/>
            <w:iCs/>
            <w:color w:val="0000FF"/>
          </w:rPr>
          <w:t xml:space="preserve">CTIA-The Wireless </w:t>
        </w:r>
        <w:proofErr w:type="spellStart"/>
        <w:r w:rsidRPr="004D2D8F">
          <w:rPr>
            <w:rFonts w:ascii="Verdana" w:hAnsi="Verdana" w:cs="Times New Roman"/>
            <w:i/>
            <w:iCs/>
            <w:color w:val="0000FF"/>
          </w:rPr>
          <w:t>Ass’n</w:t>
        </w:r>
        <w:proofErr w:type="spellEnd"/>
        <w:r w:rsidRPr="004D2D8F">
          <w:rPr>
            <w:rFonts w:ascii="Verdana" w:hAnsi="Verdana" w:cs="Times New Roman"/>
            <w:i/>
            <w:iCs/>
            <w:color w:val="0000FF"/>
          </w:rPr>
          <w:t xml:space="preserve"> v. City of Berkeley, Calif.</w:t>
        </w:r>
        <w:r w:rsidRPr="004D2D8F">
          <w:rPr>
            <w:rFonts w:ascii="Verdana" w:hAnsi="Verdana" w:cs="Times New Roman"/>
            <w:color w:val="0000FF"/>
          </w:rPr>
          <w:t>, 928 F.3d 832, 852 (9th Cir. 2019)</w:t>
        </w:r>
      </w:hyperlink>
      <w:r w:rsidRPr="004D2D8F">
        <w:rPr>
          <w:rFonts w:ascii="Verdana" w:hAnsi="Verdana" w:cs="Times New Roman"/>
          <w:color w:val="000000"/>
        </w:rPr>
        <w:t xml:space="preserve"> (internal quotation marks and citation omitted). Again, it did not abuse its discretion in doing so.</w:t>
      </w:r>
    </w:p>
    <w:p w14:paraId="3226FCF9"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CC3B181"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On one side of the scale is the harm to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just discussed: the likelihood that, without an injunction, it will go out of business. On the other side, LinkedIn asserts that the injunction threatens its members’ privacy and therefore puts at risk the goodwill LinkedIn has developed with its members. As the district court observed, “the fact that a user has set his profile to public does not imply that he wants any third parties to collect and use that data for all purposes.” LinkedIn points in particular to the more than 50 million members who have used the “Do Not Broadcast” feature to ensure that other users are not notified when the member makes a profile change. According to LinkedIn, the popularity of the “Do Not Broadcast” feature indicates that many members—including members who choose to share their information publicly—do not want their employers to know they may be searching for a new job. An employer who learns that an employee may be planning to leave will not necessarily reward that employee with a retention bonus. Instead, the employer could decide to limit the employee’s access to sensitive information or even to terminate the employee.</w:t>
      </w:r>
    </w:p>
    <w:p w14:paraId="1A7D5B9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62E518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There is support in the record for the district court’s connected conclusions that (1) LinkedIn’s assertions have some merit; and (2) there are reasons to discount them to some extent. First, there is little evidence that LinkedIn users who choose to make their profiles public actually maintain an expectation of privacy with respect to the information that they post publicly, and it is doubtful that they do. LinkedIn’s privacy policy clearly states that “[a]</w:t>
      </w:r>
      <w:proofErr w:type="spellStart"/>
      <w:r w:rsidRPr="004D2D8F">
        <w:rPr>
          <w:rFonts w:ascii="Verdana" w:hAnsi="Verdana" w:cs="Times New Roman"/>
          <w:color w:val="000000"/>
        </w:rPr>
        <w:t>ny</w:t>
      </w:r>
      <w:proofErr w:type="spellEnd"/>
      <w:r w:rsidRPr="004D2D8F">
        <w:rPr>
          <w:rFonts w:ascii="Verdana" w:hAnsi="Verdana" w:cs="Times New Roman"/>
          <w:color w:val="000000"/>
        </w:rPr>
        <w:t xml:space="preserve"> information you put on your profile and any content you post on LinkedIn may be seen by others” and instructs users not to “post or add personal data to your profile that you would not want to be public.”</w:t>
      </w:r>
    </w:p>
    <w:p w14:paraId="49FB1E1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41BEDF21"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Second, there is no evidence in the record to suggest that most people who select the “Do Not Broadcast” option do so to prevent their employers from being alerted to profile changes made in anticipation of a job search. As the district court noted, there are other reasons why users may choose that option—most notably, many users may simply wish to avoid sending their connections annoying notifications each time there is a profile change. In any event, employers can always directly consult the profiles of users who chose to make their profiles public to see if any recent changes have been made. Employees intent on keeping such information from their employers can do so by rejecting public exposure of their </w:t>
      </w:r>
      <w:r w:rsidRPr="004D2D8F">
        <w:rPr>
          <w:rFonts w:ascii="Verdana" w:hAnsi="Verdana" w:cs="Times New Roman"/>
          <w:color w:val="000000"/>
        </w:rPr>
        <w:lastRenderedPageBreak/>
        <w:t>profiles and eliminating their employers as contacts.</w:t>
      </w:r>
    </w:p>
    <w:p w14:paraId="5282CF5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F598BC7" w14:textId="33C737C3"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Finally, LinkedIn’s own actions undercut its argument that users have an expectation </w:t>
      </w:r>
      <w:bookmarkStart w:id="30" w:name="co_pp_sp_506_995_1"/>
      <w:bookmarkEnd w:id="30"/>
      <w:r w:rsidRPr="004D2D8F">
        <w:rPr>
          <w:rFonts w:ascii="Verdana" w:hAnsi="Verdana" w:cs="Times New Roman"/>
          <w:color w:val="000000"/>
        </w:rPr>
        <w:t>of privacy in public profiles. LinkedIn’s “Recruiter” product enables recruiters to “follow” prospects, get “alert[ed] when prospects make changes to their profiles,” and “use those [alerts] as signals to reach out at just the right moment,” without the prospect’s knowledge.</w:t>
      </w:r>
      <w:bookmarkStart w:id="31" w:name="co_fnRef_B00092049136286_ID0EHXAI_1"/>
      <w:bookmarkEnd w:id="31"/>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"#co_footnote_B00092049136286_1"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7</w:t>
      </w:r>
      <w:r w:rsidRPr="004D2D8F">
        <w:rPr>
          <w:rFonts w:ascii="Verdana" w:hAnsi="Verdana" w:cs="Times New Roman"/>
          <w:color w:val="000000"/>
        </w:rPr>
        <w:fldChar w:fldCharType="end"/>
      </w:r>
      <w:r w:rsidRPr="004D2D8F">
        <w:rPr>
          <w:rFonts w:ascii="Verdana" w:hAnsi="Verdana" w:cs="Times New Roman"/>
          <w:color w:val="000000"/>
        </w:rPr>
        <w:t xml:space="preserve"> And subscribers to LinkedIn’s “talent recruiting, marketing and sales solutions” can export data from members’ public profiles, such as “name, headline, current company, current title, and location.”</w:t>
      </w:r>
    </w:p>
    <w:p w14:paraId="29545A9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2423172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In short, even if some users retain some privacy interests in their information notwithstanding their decision to make their profiles public, we cannot, on the record before us, conclude that those interests—or more specifically, LinkedIn’s interest in preventing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from scraping those profiles—are significant enough to outweigh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interest in continuing its business, which depends on accessing, analyzing, and communicating information derived from public LinkedIn profiles.</w:t>
      </w:r>
    </w:p>
    <w:p w14:paraId="713C595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33CF39E"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Nor do the other harms asserted by LinkedIn tip the balance of harms with regard to preliminary relief. LinkedIn invokes an interest in preventing “free riders” from using profiles posted on its platform. But LinkedIn has no protected property interest in the data contributed by its users, as the users retain ownership over their profiles. And as to the publicly available profiles, the users quite evidently intend them to be accessed by others, including for commercial purposes—for example, by employers seeking to hire individuals with certain credentials. Of course, LinkedIn could satisfy its “free rider” concern by eliminating the public access option, albeit at a cost to the preferences of many users and, possibly, to its own bottom line.</w:t>
      </w:r>
    </w:p>
    <w:p w14:paraId="445ABC1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67EF2B2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We conclude that the district court’s determination that the balance of hardships tips sharply in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favor is not “illogical, implausible, or without support in the record.” </w:t>
      </w:r>
      <w:hyperlink r:id="rId28" w:anchor="co_pp_sp_506_713" w:history="1">
        <w:r w:rsidRPr="004D2D8F">
          <w:rPr>
            <w:rFonts w:ascii="Verdana" w:hAnsi="Verdana" w:cs="Times New Roman"/>
            <w:i/>
            <w:iCs/>
            <w:color w:val="0000FF"/>
          </w:rPr>
          <w:t>Kelly</w:t>
        </w:r>
        <w:r w:rsidRPr="004D2D8F">
          <w:rPr>
            <w:rFonts w:ascii="Verdana" w:hAnsi="Verdana" w:cs="Times New Roman"/>
            <w:color w:val="0000FF"/>
          </w:rPr>
          <w:t>, 878 F.3d at 713</w:t>
        </w:r>
      </w:hyperlink>
      <w:r w:rsidRPr="004D2D8F">
        <w:rPr>
          <w:rFonts w:ascii="Verdana" w:hAnsi="Verdana" w:cs="Times New Roman"/>
          <w:color w:val="000000"/>
        </w:rPr>
        <w:t>.</w:t>
      </w:r>
    </w:p>
    <w:p w14:paraId="5185A233" w14:textId="613D422D"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bookmarkStart w:id="32" w:name="co_anchor_I55d25441f42b11eaaf228f22ef91b"/>
      <w:bookmarkEnd w:id="32"/>
    </w:p>
    <w:p w14:paraId="0EAC701F" w14:textId="77777777" w:rsidR="00586E12" w:rsidRPr="004D2D8F" w:rsidRDefault="00DE6F1B">
      <w:pPr>
        <w:widowControl w:val="0"/>
        <w:autoSpaceDE w:val="0"/>
        <w:autoSpaceDN w:val="0"/>
        <w:adjustRightInd w:val="0"/>
        <w:spacing w:before="400" w:after="0" w:line="240" w:lineRule="auto"/>
        <w:ind w:left="200"/>
        <w:rPr>
          <w:rFonts w:ascii="Verdana" w:hAnsi="Verdana" w:cs="Times New Roman"/>
          <w:b/>
          <w:bCs/>
          <w:color w:val="000000"/>
        </w:rPr>
      </w:pPr>
      <w:r w:rsidRPr="004D2D8F">
        <w:rPr>
          <w:rFonts w:ascii="Verdana" w:hAnsi="Verdana" w:cs="Times New Roman"/>
          <w:b/>
          <w:bCs/>
          <w:color w:val="000000"/>
        </w:rPr>
        <w:t>C. Likelihood of Success</w:t>
      </w:r>
    </w:p>
    <w:p w14:paraId="085616D4" w14:textId="63D5F551"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Because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established that the balance of hardships tips decidedly in its favor, the likelihood-of-success prong of the preliminary injunction inquiry focuses on whether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raised “serious questions going to the merits.” </w:t>
      </w:r>
      <w:r w:rsidR="004D2D8F" w:rsidRPr="004D2D8F">
        <w:rPr>
          <w:rFonts w:ascii="Verdana" w:hAnsi="Verdana" w:cs="Times New Roman"/>
          <w:noProof/>
          <w:color w:val="000000"/>
        </w:rPr>
        <w:drawing>
          <wp:inline distT="0" distB="0" distL="0" distR="0" wp14:anchorId="7D5B3788" wp14:editId="2BD9F698">
            <wp:extent cx="160020" cy="160020"/>
            <wp:effectExtent l="0" t="0" r="0" b="0"/>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29" w:anchor="co_pp_sp_506_1131" w:history="1">
        <w:r w:rsidRPr="004D2D8F">
          <w:rPr>
            <w:rFonts w:ascii="Verdana" w:hAnsi="Verdana" w:cs="Times New Roman"/>
            <w:i/>
            <w:iCs/>
            <w:color w:val="0000FF"/>
          </w:rPr>
          <w:t>Alliance for the Wild Rockies</w:t>
        </w:r>
        <w:r w:rsidRPr="004D2D8F">
          <w:rPr>
            <w:rFonts w:ascii="Verdana" w:hAnsi="Verdana" w:cs="Times New Roman"/>
            <w:color w:val="0000FF"/>
          </w:rPr>
          <w:t>, 632 F.3d at 1131</w:t>
        </w:r>
      </w:hyperlink>
      <w:r w:rsidRPr="004D2D8F">
        <w:rPr>
          <w:rFonts w:ascii="Verdana" w:hAnsi="Verdana" w:cs="Times New Roman"/>
          <w:color w:val="000000"/>
        </w:rPr>
        <w:t>. It has.</w:t>
      </w:r>
    </w:p>
    <w:p w14:paraId="69B6740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78DB5B7" w14:textId="782B0F86"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As usual, we consider only the claims and defenses that the parties press on appeal. We recognize that the companies have invoked additional claims and defenses in the district court, and we express no opinion as to whether any of those claims or defenses might ultimately prove meritorious. Thus, while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advanced several affirmative claims in support of its request for preliminary injunctive relief, here we consider only whether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raised serious questions on the merits of its claims either for intentional interference with contract or unfair competition, under California’s Unfair Competition Law, </w:t>
      </w:r>
      <w:r w:rsidR="004D2D8F" w:rsidRPr="004D2D8F">
        <w:rPr>
          <w:rFonts w:ascii="Verdana" w:hAnsi="Verdana" w:cs="Times New Roman"/>
          <w:noProof/>
          <w:color w:val="000000"/>
        </w:rPr>
        <w:drawing>
          <wp:inline distT="0" distB="0" distL="0" distR="0" wp14:anchorId="2F6E5F3B" wp14:editId="47A3F642">
            <wp:extent cx="160020" cy="160020"/>
            <wp:effectExtent l="0" t="0" r="0" b="0"/>
            <wp:docPr id="12" name="Picture 1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31" w:history="1">
        <w:r w:rsidRPr="004D2D8F">
          <w:rPr>
            <w:rFonts w:ascii="Verdana" w:hAnsi="Verdana" w:cs="Times New Roman"/>
            <w:color w:val="0000FF"/>
          </w:rPr>
          <w:t xml:space="preserve">Cal. Bus. &amp; Prof. Code § 17200 </w:t>
        </w:r>
        <w:r w:rsidRPr="004D2D8F">
          <w:rPr>
            <w:rFonts w:ascii="Verdana" w:hAnsi="Verdana" w:cs="Times New Roman"/>
            <w:i/>
            <w:iCs/>
            <w:color w:val="0000FF"/>
          </w:rPr>
          <w:t>et seq.</w:t>
        </w:r>
      </w:hyperlink>
      <w:r w:rsidRPr="004D2D8F">
        <w:rPr>
          <w:rFonts w:ascii="Verdana" w:hAnsi="Verdana" w:cs="Times New Roman"/>
          <w:color w:val="000000"/>
        </w:rPr>
        <w:t xml:space="preserve"> Likewise, while LinkedIn has asserted that it has “claims under the Digital Millennium Copyright Act and under trespass and misappropriation doctrines,” it has chosen </w:t>
      </w:r>
      <w:r w:rsidRPr="004D2D8F">
        <w:rPr>
          <w:rFonts w:ascii="Verdana" w:hAnsi="Verdana" w:cs="Times New Roman"/>
          <w:color w:val="000000"/>
        </w:rPr>
        <w:lastRenderedPageBreak/>
        <w:t xml:space="preserve">for present purposes to focus on a defense based on the CFAA, so that is the sole defense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claims that we address here.</w:t>
      </w:r>
    </w:p>
    <w:p w14:paraId="3280F56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853A55F"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5BFBFA63"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bookmarkStart w:id="33" w:name="co_anchor_I55d3dae1f42b11eaaf228f22ef91b"/>
      <w:bookmarkEnd w:id="33"/>
    </w:p>
    <w:p w14:paraId="6CC18FBD" w14:textId="77777777" w:rsidR="00586E12" w:rsidRPr="004D2D8F" w:rsidRDefault="00DE6F1B">
      <w:pPr>
        <w:widowControl w:val="0"/>
        <w:autoSpaceDE w:val="0"/>
        <w:autoSpaceDN w:val="0"/>
        <w:adjustRightInd w:val="0"/>
        <w:spacing w:before="600" w:after="200" w:line="240" w:lineRule="auto"/>
        <w:jc w:val="center"/>
        <w:rPr>
          <w:rFonts w:ascii="Verdana" w:hAnsi="Verdana" w:cs="Times New Roman"/>
          <w:i/>
          <w:iCs/>
          <w:color w:val="000000"/>
        </w:rPr>
      </w:pPr>
      <w:r w:rsidRPr="004D2D8F">
        <w:rPr>
          <w:rFonts w:ascii="Verdana" w:hAnsi="Verdana" w:cs="Times New Roman"/>
          <w:i/>
          <w:iCs/>
          <w:color w:val="000000"/>
        </w:rPr>
        <w:t>1. Tortious Interference with Contract</w:t>
      </w:r>
    </w:p>
    <w:p w14:paraId="58B43574" w14:textId="267AF434"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34" w:name="co_anchor_B112049136286_1"/>
      <w:bookmarkStart w:id="35" w:name="co_anchor_B122049136286_1"/>
      <w:bookmarkStart w:id="36" w:name="co_anchor_B132049136286_1"/>
      <w:bookmarkEnd w:id="34"/>
      <w:bookmarkEnd w:id="35"/>
      <w:bookmarkEnd w:id="36"/>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alleges that LinkedIn intentionally interfered with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contracts with third parties. “The elements which a </w:t>
      </w:r>
      <w:bookmarkStart w:id="37" w:name="co_pp_sp_506_996_1"/>
      <w:bookmarkEnd w:id="37"/>
      <w:r w:rsidRPr="004D2D8F">
        <w:rPr>
          <w:rFonts w:ascii="Verdana" w:hAnsi="Verdana" w:cs="Times New Roman"/>
          <w:color w:val="000000"/>
        </w:rPr>
        <w:t xml:space="preserve">plaintiff must plead to state the cause of action for intentional interference with contractual relations are (1) a valid contract between plaintiff and a third party; (2) defendant’s knowledge of this contract; (3) defendant’s intentional acts designed to induce a breach or disruption of the contractual relationship; (4) actual breach or disruption of the contractual relationship; and (5) resulting damage.” </w:t>
      </w:r>
      <w:r w:rsidR="004D2D8F" w:rsidRPr="004D2D8F">
        <w:rPr>
          <w:rFonts w:ascii="Verdana" w:hAnsi="Verdana" w:cs="Times New Roman"/>
          <w:noProof/>
          <w:color w:val="000000"/>
        </w:rPr>
        <w:drawing>
          <wp:inline distT="0" distB="0" distL="0" distR="0" wp14:anchorId="384839F8" wp14:editId="55BF49B1">
            <wp:extent cx="160020" cy="160020"/>
            <wp:effectExtent l="0" t="0" r="0" b="0"/>
            <wp:docPr id="13" name="Picture 1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33" w:anchor="co_pp_sp_233_1126" w:history="1">
        <w:r w:rsidRPr="004D2D8F">
          <w:rPr>
            <w:rFonts w:ascii="Verdana" w:hAnsi="Verdana" w:cs="Times New Roman"/>
            <w:i/>
            <w:iCs/>
            <w:color w:val="0000FF"/>
          </w:rPr>
          <w:t>Pac. Gas &amp; Elec. Co. v. Bear Stearns &amp; Co.</w:t>
        </w:r>
        <w:r w:rsidRPr="004D2D8F">
          <w:rPr>
            <w:rFonts w:ascii="Verdana" w:hAnsi="Verdana" w:cs="Times New Roman"/>
            <w:color w:val="0000FF"/>
          </w:rPr>
          <w:t xml:space="preserve">, 50 Cal. 3d 1118, 1126, 270 </w:t>
        </w:r>
        <w:proofErr w:type="spellStart"/>
        <w:r w:rsidRPr="004D2D8F">
          <w:rPr>
            <w:rFonts w:ascii="Verdana" w:hAnsi="Verdana" w:cs="Times New Roman"/>
            <w:color w:val="0000FF"/>
          </w:rPr>
          <w:t>Cal.Rptr</w:t>
        </w:r>
        <w:proofErr w:type="spellEnd"/>
        <w:r w:rsidRPr="004D2D8F">
          <w:rPr>
            <w:rFonts w:ascii="Verdana" w:hAnsi="Verdana" w:cs="Times New Roman"/>
            <w:color w:val="0000FF"/>
          </w:rPr>
          <w:t>. 1, 791 P.2d 587 (1990)</w:t>
        </w:r>
      </w:hyperlink>
      <w:r w:rsidRPr="004D2D8F">
        <w:rPr>
          <w:rFonts w:ascii="Verdana" w:hAnsi="Verdana" w:cs="Times New Roman"/>
          <w:color w:val="000000"/>
        </w:rPr>
        <w:t>.</w:t>
      </w:r>
      <w:bookmarkStart w:id="38" w:name="co_fnRef_B00102049136286_ID0EZ6AI_1"/>
      <w:bookmarkEnd w:id="38"/>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"#co_footnote_B00102049136286_1"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8</w:t>
      </w:r>
      <w:r w:rsidRPr="004D2D8F">
        <w:rPr>
          <w:rFonts w:ascii="Verdana" w:hAnsi="Verdana" w:cs="Times New Roman"/>
          <w:color w:val="000000"/>
        </w:rPr>
        <w:fldChar w:fldCharType="end"/>
      </w:r>
    </w:p>
    <w:p w14:paraId="14737D48"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2D99FA5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shown a sufficient likelihood of establishing each of these elements. First, LinkedIn does not contest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evidence that contracts exist between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and some customers, including eBay, Capital One, and GoDaddy.</w:t>
      </w:r>
    </w:p>
    <w:p w14:paraId="0725A48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4A25055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Second,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will likely be able to establish that LinkedIn knew of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scraping activity and products for some time. LinkedIn began sending representatives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Elevate conferences in October 2015. At those conferences,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discussed its business model, including its use of data from external sources to predict employee attrition. LinkedIn’s director of business operations and analytics, who attended several Elevate conferences, specifically “recall[s] someone from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stating [at the April 2017 conference] that they collected skills data from public professional profiles in order to provide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customers information about their employees’ skill sets.” Additionally, LinkedIn acknowledged in its cease-and-desist letter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stated during marketing presentations that its Skill Mapper product is built on profile data from LinkedIn.” Finally, at a minimum, LinkedIn knew of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contracts as of May 31, 2017, when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responded to LinkedIn’s cease-and-desist letter and identified both current and prospective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clients.</w:t>
      </w:r>
    </w:p>
    <w:p w14:paraId="0949B218"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6B420900" w14:textId="1BA1E8D4"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Third, LinkedIn’s threats to invoke the CFAA and implementation of technical measures selectively to ban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bots could well constitute “intentional acts designed to induce a breach or disruption” of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contractual relationships with third parties. </w:t>
      </w:r>
      <w:r w:rsidR="004D2D8F" w:rsidRPr="004D2D8F">
        <w:rPr>
          <w:rFonts w:ascii="Verdana" w:hAnsi="Verdana" w:cs="Times New Roman"/>
          <w:noProof/>
          <w:color w:val="000000"/>
        </w:rPr>
        <w:drawing>
          <wp:inline distT="0" distB="0" distL="0" distR="0" wp14:anchorId="45E4A946" wp14:editId="510A851F">
            <wp:extent cx="160020" cy="160020"/>
            <wp:effectExtent l="0" t="0" r="0" b="0"/>
            <wp:docPr id="14" name="Picture 1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34" w:anchor="co_pp_sp_233_1126" w:history="1">
        <w:r w:rsidRPr="004D2D8F">
          <w:rPr>
            <w:rFonts w:ascii="Verdana" w:hAnsi="Verdana" w:cs="Times New Roman"/>
            <w:i/>
            <w:iCs/>
            <w:color w:val="0000FF"/>
          </w:rPr>
          <w:t>Pac. Gas &amp; Elec. Co.</w:t>
        </w:r>
        <w:r w:rsidRPr="004D2D8F">
          <w:rPr>
            <w:rFonts w:ascii="Verdana" w:hAnsi="Verdana" w:cs="Times New Roman"/>
            <w:color w:val="0000FF"/>
          </w:rPr>
          <w:t xml:space="preserve">, 50 Cal. 3d at 1126, 270 </w:t>
        </w:r>
        <w:proofErr w:type="spellStart"/>
        <w:r w:rsidRPr="004D2D8F">
          <w:rPr>
            <w:rFonts w:ascii="Verdana" w:hAnsi="Verdana" w:cs="Times New Roman"/>
            <w:color w:val="0000FF"/>
          </w:rPr>
          <w:t>Cal.Rptr</w:t>
        </w:r>
        <w:proofErr w:type="spellEnd"/>
        <w:r w:rsidRPr="004D2D8F">
          <w:rPr>
            <w:rFonts w:ascii="Verdana" w:hAnsi="Verdana" w:cs="Times New Roman"/>
            <w:color w:val="0000FF"/>
          </w:rPr>
          <w:t>. 1, 791 P.2d 587</w:t>
        </w:r>
      </w:hyperlink>
      <w:r w:rsidRPr="004D2D8F">
        <w:rPr>
          <w:rFonts w:ascii="Verdana" w:hAnsi="Verdana" w:cs="Times New Roman"/>
          <w:color w:val="000000"/>
        </w:rPr>
        <w:t xml:space="preserve">; </w:t>
      </w:r>
      <w:r w:rsidRPr="004D2D8F">
        <w:rPr>
          <w:rFonts w:ascii="Verdana" w:hAnsi="Verdana" w:cs="Times New Roman"/>
          <w:i/>
          <w:iCs/>
          <w:color w:val="000000"/>
        </w:rPr>
        <w:t xml:space="preserve">cf. </w:t>
      </w:r>
      <w:r w:rsidR="004D2D8F" w:rsidRPr="004D2D8F">
        <w:rPr>
          <w:rFonts w:ascii="Verdana" w:hAnsi="Verdana" w:cs="Times New Roman"/>
          <w:noProof/>
          <w:color w:val="000000"/>
        </w:rPr>
        <w:drawing>
          <wp:inline distT="0" distB="0" distL="0" distR="0" wp14:anchorId="703EB586" wp14:editId="4C7C193F">
            <wp:extent cx="160020" cy="160020"/>
            <wp:effectExtent l="0" t="0" r="0" b="0"/>
            <wp:docPr id="15" name="Picture 15">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36" w:anchor="co_pp_sp_4041_597" w:history="1">
        <w:r w:rsidRPr="004D2D8F">
          <w:rPr>
            <w:rFonts w:ascii="Verdana" w:hAnsi="Verdana" w:cs="Times New Roman"/>
            <w:i/>
            <w:iCs/>
            <w:color w:val="0000FF"/>
          </w:rPr>
          <w:t>Winchester Mystery House, LLC v. Global Asylum, Inc.</w:t>
        </w:r>
        <w:r w:rsidRPr="004D2D8F">
          <w:rPr>
            <w:rFonts w:ascii="Verdana" w:hAnsi="Verdana" w:cs="Times New Roman"/>
            <w:color w:val="0000FF"/>
          </w:rPr>
          <w:t>, 210 Cal. App. 4th 579, 597, 148 Cal.Rptr.3d 412 (2012)</w:t>
        </w:r>
      </w:hyperlink>
      <w:r w:rsidRPr="004D2D8F">
        <w:rPr>
          <w:rFonts w:ascii="Verdana" w:hAnsi="Verdana" w:cs="Times New Roman"/>
          <w:color w:val="000000"/>
        </w:rPr>
        <w:t xml:space="preserve"> (indicating that “cease-and-desist letters ... refer[ring] to a[ ] contractual or other economic relationship between plaintiff and any third party” could “establish ... the ... intent element[ ] of the interference claim[ ]”).</w:t>
      </w:r>
    </w:p>
    <w:p w14:paraId="5F602D6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07B996C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Fourth, the contractual relationships between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and third parties have been disrupted and “now </w:t>
      </w:r>
      <w:proofErr w:type="gramStart"/>
      <w:r w:rsidRPr="004D2D8F">
        <w:rPr>
          <w:rFonts w:ascii="Verdana" w:hAnsi="Verdana" w:cs="Times New Roman"/>
          <w:color w:val="000000"/>
        </w:rPr>
        <w:t>hang[</w:t>
      </w:r>
      <w:proofErr w:type="gramEnd"/>
      <w:r w:rsidRPr="004D2D8F">
        <w:rPr>
          <w:rFonts w:ascii="Verdana" w:hAnsi="Verdana" w:cs="Times New Roman"/>
          <w:color w:val="000000"/>
        </w:rPr>
        <w:t xml:space="preserve"> ] in the balance.” Without access to LinkedIn data,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will likely be unable to deliver its services to its existing customers as promised.</w:t>
      </w:r>
    </w:p>
    <w:p w14:paraId="75D99D5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875FF07" w14:textId="4A554DF9"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Last,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is harmed by the disruption to its existing contracts and interference with</w:t>
      </w:r>
      <w:bookmarkStart w:id="39" w:name="co_pp_sp_506_997_1"/>
      <w:bookmarkEnd w:id="39"/>
      <w:r w:rsidR="004D2D8F">
        <w:rPr>
          <w:rFonts w:ascii="Verdana" w:hAnsi="Verdana" w:cs="Times New Roman"/>
          <w:color w:val="000000"/>
        </w:rPr>
        <w:t xml:space="preserve"> </w:t>
      </w:r>
      <w:r w:rsidRPr="004D2D8F">
        <w:rPr>
          <w:rFonts w:ascii="Verdana" w:hAnsi="Verdana" w:cs="Times New Roman"/>
          <w:color w:val="000000"/>
        </w:rPr>
        <w:t xml:space="preserve">its </w:t>
      </w:r>
      <w:r w:rsidRPr="004D2D8F">
        <w:rPr>
          <w:rFonts w:ascii="Verdana" w:hAnsi="Verdana" w:cs="Times New Roman"/>
          <w:color w:val="000000"/>
        </w:rPr>
        <w:lastRenderedPageBreak/>
        <w:t xml:space="preserve">pending contracts. Without the revenue from sale of its products,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will likely go out of business. </w:t>
      </w:r>
      <w:r w:rsidRPr="004D2D8F">
        <w:rPr>
          <w:rFonts w:ascii="Verdana" w:hAnsi="Verdana" w:cs="Times New Roman"/>
          <w:i/>
          <w:iCs/>
          <w:color w:val="000000"/>
        </w:rPr>
        <w:t>See supra</w:t>
      </w:r>
      <w:r w:rsidRPr="004D2D8F">
        <w:rPr>
          <w:rFonts w:ascii="Verdana" w:hAnsi="Verdana" w:cs="Times New Roman"/>
          <w:color w:val="000000"/>
        </w:rPr>
        <w:t xml:space="preserve"> pp. 992–94.</w:t>
      </w:r>
    </w:p>
    <w:p w14:paraId="21C5831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142D123" w14:textId="0D204501" w:rsidR="00586E12" w:rsidRPr="004D2D8F" w:rsidRDefault="00DE6F1B">
      <w:pPr>
        <w:widowControl w:val="0"/>
        <w:autoSpaceDE w:val="0"/>
        <w:autoSpaceDN w:val="0"/>
        <w:adjustRightInd w:val="0"/>
        <w:spacing w:after="0" w:line="240" w:lineRule="auto"/>
        <w:jc w:val="both"/>
        <w:rPr>
          <w:rFonts w:ascii="Verdana" w:hAnsi="Verdana" w:cs="Times New Roman"/>
          <w:i/>
          <w:iCs/>
          <w:color w:val="000000"/>
        </w:rPr>
      </w:pPr>
      <w:r w:rsidRPr="004D2D8F">
        <w:rPr>
          <w:rFonts w:ascii="Verdana" w:hAnsi="Verdana" w:cs="Times New Roman"/>
          <w:color w:val="000000"/>
        </w:rPr>
        <w:t xml:space="preserve">LinkedIn does not specifically challenge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ability to make out any of these elements of a tortious interference claim. Instead, LinkedIn maintains that it has a “legitimate business purpose” defense to any such claim. </w:t>
      </w:r>
      <w:r w:rsidRPr="004D2D8F">
        <w:rPr>
          <w:rFonts w:ascii="Verdana" w:hAnsi="Verdana" w:cs="Times New Roman"/>
          <w:i/>
          <w:iCs/>
          <w:color w:val="000000"/>
        </w:rPr>
        <w:t xml:space="preserve">Cf. </w:t>
      </w:r>
      <w:r w:rsidR="004D2D8F" w:rsidRPr="004D2D8F">
        <w:rPr>
          <w:rFonts w:ascii="Verdana" w:hAnsi="Verdana" w:cs="Times New Roman"/>
          <w:noProof/>
          <w:color w:val="000000"/>
        </w:rPr>
        <w:drawing>
          <wp:inline distT="0" distB="0" distL="0" distR="0" wp14:anchorId="30C6C061" wp14:editId="7C636B82">
            <wp:extent cx="160020" cy="160020"/>
            <wp:effectExtent l="0" t="0" r="0" b="0"/>
            <wp:docPr id="16" name="Picture 1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38" w:anchor="co_pp_sp_4040_57" w:history="1">
        <w:proofErr w:type="spellStart"/>
        <w:r w:rsidRPr="004D2D8F">
          <w:rPr>
            <w:rFonts w:ascii="Verdana" w:hAnsi="Verdana" w:cs="Times New Roman"/>
            <w:i/>
            <w:iCs/>
            <w:color w:val="0000FF"/>
          </w:rPr>
          <w:t>Quelimane</w:t>
        </w:r>
        <w:proofErr w:type="spellEnd"/>
        <w:r w:rsidRPr="004D2D8F">
          <w:rPr>
            <w:rFonts w:ascii="Verdana" w:hAnsi="Verdana" w:cs="Times New Roman"/>
            <w:i/>
            <w:iCs/>
            <w:color w:val="0000FF"/>
          </w:rPr>
          <w:t xml:space="preserve"> Co. v. Stewart Title Guar. Co.</w:t>
        </w:r>
        <w:r w:rsidRPr="004D2D8F">
          <w:rPr>
            <w:rFonts w:ascii="Verdana" w:hAnsi="Verdana" w:cs="Times New Roman"/>
            <w:color w:val="0000FF"/>
          </w:rPr>
          <w:t>, 19 Cal. 4th 26, 57, 77 Cal.Rptr.2d 709, 960 P.2d 513 (1998)</w:t>
        </w:r>
      </w:hyperlink>
      <w:r w:rsidRPr="004D2D8F">
        <w:rPr>
          <w:rFonts w:ascii="Verdana" w:hAnsi="Verdana" w:cs="Times New Roman"/>
          <w:color w:val="000000"/>
        </w:rPr>
        <w:t xml:space="preserve">, </w:t>
      </w:r>
      <w:r w:rsidRPr="004D2D8F">
        <w:rPr>
          <w:rFonts w:ascii="Verdana" w:hAnsi="Verdana" w:cs="Times New Roman"/>
          <w:i/>
          <w:iCs/>
          <w:color w:val="000000"/>
        </w:rPr>
        <w:t>as modified</w:t>
      </w:r>
      <w:r w:rsidRPr="004D2D8F">
        <w:rPr>
          <w:rFonts w:ascii="Verdana" w:hAnsi="Verdana" w:cs="Times New Roman"/>
          <w:color w:val="000000"/>
        </w:rPr>
        <w:t xml:space="preserve"> (Sept. 23, 1998). That contention is an affirmative justification defense for which LinkedIn bears the burden of proof. </w:t>
      </w:r>
      <w:r w:rsidRPr="004D2D8F">
        <w:rPr>
          <w:rFonts w:ascii="Verdana" w:hAnsi="Verdana" w:cs="Times New Roman"/>
          <w:i/>
          <w:iCs/>
          <w:color w:val="000000"/>
        </w:rPr>
        <w:t xml:space="preserve">See </w:t>
      </w:r>
      <w:r w:rsidR="004D2D8F" w:rsidRPr="004D2D8F">
        <w:rPr>
          <w:rFonts w:ascii="Verdana" w:hAnsi="Verdana" w:cs="Times New Roman"/>
          <w:i/>
          <w:iCs/>
          <w:noProof/>
          <w:color w:val="000000"/>
        </w:rPr>
        <w:drawing>
          <wp:inline distT="0" distB="0" distL="0" distR="0" wp14:anchorId="53CF15E4" wp14:editId="55BFEBA0">
            <wp:extent cx="160020" cy="160020"/>
            <wp:effectExtent l="0" t="0" r="0" b="0"/>
            <wp:docPr id="17" name="Picture 17">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39" w:history="1">
        <w:r w:rsidRPr="004D2D8F">
          <w:rPr>
            <w:rFonts w:ascii="Verdana" w:hAnsi="Verdana" w:cs="Times New Roman"/>
            <w:i/>
            <w:iCs/>
            <w:color w:val="0000FF"/>
          </w:rPr>
          <w:t>id.</w:t>
        </w:r>
      </w:hyperlink>
    </w:p>
    <w:p w14:paraId="6B5E060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1119297C" w14:textId="3C4984B4"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40" w:name="co_anchor_B142049136286_1"/>
      <w:bookmarkStart w:id="41" w:name="co_anchor_B152049136286_1"/>
      <w:bookmarkStart w:id="42" w:name="co_anchor_B162049136286_1"/>
      <w:bookmarkEnd w:id="40"/>
      <w:bookmarkEnd w:id="41"/>
      <w:bookmarkEnd w:id="42"/>
      <w:r w:rsidRPr="004D2D8F">
        <w:rPr>
          <w:rFonts w:ascii="Verdana" w:hAnsi="Verdana" w:cs="Times New Roman"/>
          <w:color w:val="000000"/>
        </w:rPr>
        <w:t xml:space="preserve">Under California law, a legitimate business purpose can indeed justify interference with contract, but not just any such purpose suffices. </w:t>
      </w:r>
      <w:r w:rsidRPr="004D2D8F">
        <w:rPr>
          <w:rFonts w:ascii="Verdana" w:hAnsi="Verdana" w:cs="Times New Roman"/>
          <w:i/>
          <w:iCs/>
          <w:color w:val="000000"/>
        </w:rPr>
        <w:t xml:space="preserve">See </w:t>
      </w:r>
      <w:r w:rsidR="004D2D8F" w:rsidRPr="004D2D8F">
        <w:rPr>
          <w:rFonts w:ascii="Verdana" w:hAnsi="Verdana" w:cs="Times New Roman"/>
          <w:noProof/>
          <w:color w:val="000000"/>
        </w:rPr>
        <w:drawing>
          <wp:inline distT="0" distB="0" distL="0" distR="0" wp14:anchorId="4A879EB3" wp14:editId="08F1B8C1">
            <wp:extent cx="160020" cy="160020"/>
            <wp:effectExtent l="0" t="0" r="0" b="0"/>
            <wp:docPr id="18" name="Picture 18">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40" w:history="1">
        <w:r w:rsidRPr="004D2D8F">
          <w:rPr>
            <w:rFonts w:ascii="Verdana" w:hAnsi="Verdana" w:cs="Times New Roman"/>
            <w:i/>
            <w:iCs/>
            <w:color w:val="0000FF"/>
          </w:rPr>
          <w:t>id.</w:t>
        </w:r>
        <w:r w:rsidRPr="004D2D8F">
          <w:rPr>
            <w:rFonts w:ascii="Verdana" w:hAnsi="Verdana" w:cs="Times New Roman"/>
            <w:color w:val="0000FF"/>
          </w:rPr>
          <w:t xml:space="preserve"> at 55–56, 77 Cal.Rptr.2d 709, 960 P.2d 513</w:t>
        </w:r>
      </w:hyperlink>
      <w:r w:rsidRPr="004D2D8F">
        <w:rPr>
          <w:rFonts w:ascii="Verdana" w:hAnsi="Verdana" w:cs="Times New Roman"/>
          <w:color w:val="000000"/>
        </w:rPr>
        <w:t xml:space="preserve">. Where a contractual relationship exists, the societal interest in “contractual stability is generally accepted as of greater importance than competitive freedom.” </w:t>
      </w:r>
      <w:r w:rsidR="004D2D8F" w:rsidRPr="004D2D8F">
        <w:rPr>
          <w:rFonts w:ascii="Verdana" w:hAnsi="Verdana" w:cs="Times New Roman"/>
          <w:noProof/>
          <w:color w:val="000000"/>
        </w:rPr>
        <w:drawing>
          <wp:inline distT="0" distB="0" distL="0" distR="0" wp14:anchorId="4FE00ED2" wp14:editId="2B1A8C7F">
            <wp:extent cx="160020" cy="160020"/>
            <wp:effectExtent l="0" t="0" r="0" b="0"/>
            <wp:docPr id="19" name="Picture 19">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42" w:anchor="co_pp_sp_231_36" w:history="1">
        <w:r w:rsidRPr="004D2D8F">
          <w:rPr>
            <w:rFonts w:ascii="Verdana" w:hAnsi="Verdana" w:cs="Times New Roman"/>
            <w:i/>
            <w:iCs/>
            <w:color w:val="0000FF"/>
          </w:rPr>
          <w:t xml:space="preserve">Imperial Ice Co. v. </w:t>
        </w:r>
        <w:proofErr w:type="spellStart"/>
        <w:r w:rsidRPr="004D2D8F">
          <w:rPr>
            <w:rFonts w:ascii="Verdana" w:hAnsi="Verdana" w:cs="Times New Roman"/>
            <w:i/>
            <w:iCs/>
            <w:color w:val="0000FF"/>
          </w:rPr>
          <w:t>Rossier</w:t>
        </w:r>
        <w:proofErr w:type="spellEnd"/>
        <w:r w:rsidRPr="004D2D8F">
          <w:rPr>
            <w:rFonts w:ascii="Verdana" w:hAnsi="Verdana" w:cs="Times New Roman"/>
            <w:color w:val="0000FF"/>
          </w:rPr>
          <w:t>, 18 Cal. 2d 33, 36, 112 P.2d 631 (1941)</w:t>
        </w:r>
      </w:hyperlink>
      <w:r w:rsidRPr="004D2D8F">
        <w:rPr>
          <w:rFonts w:ascii="Verdana" w:hAnsi="Verdana" w:cs="Times New Roman"/>
          <w:color w:val="000000"/>
        </w:rPr>
        <w:t xml:space="preserve">. Emphasizing the “distinction between claims for the tortious disruption of an existing contract and claims that a prospective contractual or economic relationship has been interfered with by the defendant,” the California Supreme Court instructs that we must “bring[ ] a greater solicitude to those relationships that have ripened into agreements.” </w:t>
      </w:r>
      <w:r w:rsidR="004D2D8F" w:rsidRPr="004D2D8F">
        <w:rPr>
          <w:rFonts w:ascii="Verdana" w:hAnsi="Verdana" w:cs="Times New Roman"/>
          <w:noProof/>
          <w:color w:val="000000"/>
        </w:rPr>
        <w:drawing>
          <wp:inline distT="0" distB="0" distL="0" distR="0" wp14:anchorId="61A5674D" wp14:editId="40D4E78F">
            <wp:extent cx="160020" cy="160020"/>
            <wp:effectExtent l="0" t="0" r="0" b="0"/>
            <wp:docPr id="20" name="Picture 2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004D2D8F" w:rsidRPr="004D2D8F">
        <w:rPr>
          <w:rFonts w:ascii="Verdana" w:hAnsi="Verdana" w:cs="Times New Roman"/>
          <w:noProof/>
          <w:color w:val="000000"/>
        </w:rPr>
        <w:drawing>
          <wp:inline distT="0" distB="0" distL="0" distR="0" wp14:anchorId="2178ED16" wp14:editId="0378B8DA">
            <wp:extent cx="160020" cy="160020"/>
            <wp:effectExtent l="0" t="0" r="0" b="0"/>
            <wp:docPr id="21" name="Picture 2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45" w:anchor="co_pp_sp_4040_392" w:history="1">
        <w:r w:rsidRPr="004D2D8F">
          <w:rPr>
            <w:rFonts w:ascii="Verdana" w:hAnsi="Verdana" w:cs="Times New Roman"/>
            <w:i/>
            <w:iCs/>
            <w:color w:val="0000FF"/>
          </w:rPr>
          <w:t>Della Penna v. Toyota Motor Sales, U.S.A., Inc.</w:t>
        </w:r>
        <w:r w:rsidRPr="004D2D8F">
          <w:rPr>
            <w:rFonts w:ascii="Verdana" w:hAnsi="Verdana" w:cs="Times New Roman"/>
            <w:color w:val="0000FF"/>
          </w:rPr>
          <w:t>, 11 Cal. 4th 376, 392, 45 Cal.Rptr.2d 436, 902 P.2d 740 (1995)</w:t>
        </w:r>
      </w:hyperlink>
      <w:r w:rsidRPr="004D2D8F">
        <w:rPr>
          <w:rFonts w:ascii="Verdana" w:hAnsi="Verdana" w:cs="Times New Roman"/>
          <w:color w:val="000000"/>
        </w:rPr>
        <w:t xml:space="preserve">. Thus, interference with an existing contract is not justified simply because a competitor “seeks to further his own economic advantage at the expense of another.” </w:t>
      </w:r>
      <w:r w:rsidR="004D2D8F" w:rsidRPr="004D2D8F">
        <w:rPr>
          <w:rFonts w:ascii="Verdana" w:hAnsi="Verdana" w:cs="Times New Roman"/>
          <w:noProof/>
          <w:color w:val="000000"/>
        </w:rPr>
        <w:drawing>
          <wp:inline distT="0" distB="0" distL="0" distR="0" wp14:anchorId="372C1EFD" wp14:editId="567159C7">
            <wp:extent cx="160020" cy="160020"/>
            <wp:effectExtent l="0" t="0" r="0" b="0"/>
            <wp:docPr id="22" name="Picture 2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46" w:anchor="co_pp_sp_231_36" w:history="1">
        <w:r w:rsidRPr="004D2D8F">
          <w:rPr>
            <w:rFonts w:ascii="Verdana" w:hAnsi="Verdana" w:cs="Times New Roman"/>
            <w:i/>
            <w:iCs/>
            <w:color w:val="0000FF"/>
          </w:rPr>
          <w:t>Imperial Ice</w:t>
        </w:r>
        <w:r w:rsidRPr="004D2D8F">
          <w:rPr>
            <w:rFonts w:ascii="Verdana" w:hAnsi="Verdana" w:cs="Times New Roman"/>
            <w:color w:val="0000FF"/>
          </w:rPr>
          <w:t>, 18 Cal. 2d at 36, 112 P.2d 631</w:t>
        </w:r>
      </w:hyperlink>
      <w:r w:rsidRPr="004D2D8F">
        <w:rPr>
          <w:rFonts w:ascii="Verdana" w:hAnsi="Verdana" w:cs="Times New Roman"/>
          <w:color w:val="000000"/>
        </w:rPr>
        <w:t xml:space="preserve">; </w:t>
      </w:r>
      <w:r w:rsidRPr="004D2D8F">
        <w:rPr>
          <w:rFonts w:ascii="Verdana" w:hAnsi="Verdana" w:cs="Times New Roman"/>
          <w:i/>
          <w:iCs/>
          <w:color w:val="000000"/>
        </w:rPr>
        <w:t xml:space="preserve">see </w:t>
      </w:r>
      <w:r w:rsidR="004D2D8F" w:rsidRPr="004D2D8F">
        <w:rPr>
          <w:rFonts w:ascii="Verdana" w:hAnsi="Verdana" w:cs="Times New Roman"/>
          <w:noProof/>
          <w:color w:val="000000"/>
        </w:rPr>
        <w:drawing>
          <wp:inline distT="0" distB="0" distL="0" distR="0" wp14:anchorId="32AD9A04" wp14:editId="431DF6B1">
            <wp:extent cx="160020" cy="160020"/>
            <wp:effectExtent l="0" t="0" r="0" b="0"/>
            <wp:docPr id="23" name="Picture 23">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47" w:history="1">
        <w:r w:rsidRPr="004D2D8F">
          <w:rPr>
            <w:rFonts w:ascii="Verdana" w:hAnsi="Verdana" w:cs="Times New Roman"/>
            <w:i/>
            <w:iCs/>
            <w:color w:val="0000FF"/>
          </w:rPr>
          <w:t>id.</w:t>
        </w:r>
        <w:r w:rsidRPr="004D2D8F">
          <w:rPr>
            <w:rFonts w:ascii="Verdana" w:hAnsi="Verdana" w:cs="Times New Roman"/>
            <w:color w:val="0000FF"/>
          </w:rPr>
          <w:t xml:space="preserve"> at 37, 112 P.2d 631</w:t>
        </w:r>
      </w:hyperlink>
      <w:r w:rsidRPr="004D2D8F">
        <w:rPr>
          <w:rFonts w:ascii="Verdana" w:hAnsi="Verdana" w:cs="Times New Roman"/>
          <w:color w:val="000000"/>
        </w:rPr>
        <w:t xml:space="preserve"> (“A party may not ... under the guise of competition ... induce the breach of a competitor’s contract in order to secure an economic advantage.”). Rather, interference with contract is justified only when the party alleged to have interfered acted “to protect an interest that has greater social value than </w:t>
      </w:r>
      <w:proofErr w:type="gramStart"/>
      <w:r w:rsidRPr="004D2D8F">
        <w:rPr>
          <w:rFonts w:ascii="Verdana" w:hAnsi="Verdana" w:cs="Times New Roman"/>
          <w:color w:val="000000"/>
        </w:rPr>
        <w:t>insuring</w:t>
      </w:r>
      <w:proofErr w:type="gramEnd"/>
      <w:r w:rsidRPr="004D2D8F">
        <w:rPr>
          <w:rFonts w:ascii="Verdana" w:hAnsi="Verdana" w:cs="Times New Roman"/>
          <w:color w:val="000000"/>
        </w:rPr>
        <w:t xml:space="preserve"> the stability of the contract” interfered with. </w:t>
      </w:r>
      <w:r w:rsidR="004D2D8F" w:rsidRPr="004D2D8F">
        <w:rPr>
          <w:rFonts w:ascii="Verdana" w:hAnsi="Verdana" w:cs="Times New Roman"/>
          <w:noProof/>
          <w:color w:val="000000"/>
        </w:rPr>
        <w:drawing>
          <wp:inline distT="0" distB="0" distL="0" distR="0" wp14:anchorId="48FA5794" wp14:editId="3FAB8639">
            <wp:extent cx="160020" cy="160020"/>
            <wp:effectExtent l="0" t="0" r="0" b="0"/>
            <wp:docPr id="24" name="Picture 2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48" w:history="1">
        <w:r w:rsidRPr="004D2D8F">
          <w:rPr>
            <w:rFonts w:ascii="Verdana" w:hAnsi="Verdana" w:cs="Times New Roman"/>
            <w:i/>
            <w:iCs/>
            <w:color w:val="0000FF"/>
          </w:rPr>
          <w:t>Id.</w:t>
        </w:r>
        <w:r w:rsidRPr="004D2D8F">
          <w:rPr>
            <w:rFonts w:ascii="Verdana" w:hAnsi="Verdana" w:cs="Times New Roman"/>
            <w:color w:val="0000FF"/>
          </w:rPr>
          <w:t xml:space="preserve"> at 35, 112 P.2d 631</w:t>
        </w:r>
      </w:hyperlink>
      <w:r w:rsidRPr="004D2D8F">
        <w:rPr>
          <w:rFonts w:ascii="Verdana" w:hAnsi="Verdana" w:cs="Times New Roman"/>
          <w:color w:val="000000"/>
        </w:rPr>
        <w:t>.</w:t>
      </w:r>
    </w:p>
    <w:p w14:paraId="0D593AB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32E289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43" w:name="co_anchor_B172049136286_1"/>
      <w:bookmarkStart w:id="44" w:name="co_anchor_B182049136286_1"/>
      <w:bookmarkStart w:id="45" w:name="co_anchor_B192049136286_1"/>
      <w:bookmarkEnd w:id="43"/>
      <w:bookmarkEnd w:id="44"/>
      <w:bookmarkEnd w:id="45"/>
      <w:r w:rsidRPr="004D2D8F">
        <w:rPr>
          <w:rFonts w:ascii="Verdana" w:hAnsi="Verdana" w:cs="Times New Roman"/>
          <w:color w:val="000000"/>
        </w:rPr>
        <w:t>Accordingly, California courts apply a balancing test to determine whether the interests advanced by interference with contract outweigh the societal interest in contractual stability:</w:t>
      </w:r>
    </w:p>
    <w:p w14:paraId="0CD805D8" w14:textId="77777777" w:rsidR="00586E12" w:rsidRPr="004D2D8F" w:rsidRDefault="00DE6F1B">
      <w:pPr>
        <w:widowControl w:val="0"/>
        <w:autoSpaceDE w:val="0"/>
        <w:autoSpaceDN w:val="0"/>
        <w:adjustRightInd w:val="0"/>
        <w:spacing w:before="600" w:after="400" w:line="240" w:lineRule="auto"/>
        <w:ind w:left="1000" w:right="800"/>
        <w:jc w:val="both"/>
        <w:rPr>
          <w:rFonts w:ascii="Verdana" w:hAnsi="Verdana" w:cs="Times New Roman"/>
          <w:color w:val="000000"/>
        </w:rPr>
      </w:pPr>
      <w:r w:rsidRPr="004D2D8F">
        <w:rPr>
          <w:rFonts w:ascii="Verdana" w:hAnsi="Verdana" w:cs="Times New Roman"/>
          <w:color w:val="000000"/>
        </w:rPr>
        <w:t>Whether an intentional interference by a third party is justifiable depends upon a balancing of the importance, social and private, of the objective advanced by the interference against the importance of the interest interfered with, considering all circumstances including the nature of the actor’s conduct and the relationship between the parties.</w:t>
      </w:r>
    </w:p>
    <w:p w14:paraId="5664F2E7" w14:textId="579F56D6" w:rsidR="00586E12" w:rsidRPr="004D2D8F" w:rsidRDefault="004D2D8F">
      <w:pPr>
        <w:widowControl w:val="0"/>
        <w:autoSpaceDE w:val="0"/>
        <w:autoSpaceDN w:val="0"/>
        <w:adjustRightInd w:val="0"/>
        <w:spacing w:before="200" w:after="0" w:line="240" w:lineRule="auto"/>
        <w:jc w:val="both"/>
        <w:rPr>
          <w:rFonts w:ascii="Verdana" w:hAnsi="Verdana" w:cs="Times New Roman"/>
          <w:color w:val="000000"/>
        </w:rPr>
      </w:pPr>
      <w:r w:rsidRPr="004D2D8F">
        <w:rPr>
          <w:rFonts w:ascii="Verdana" w:hAnsi="Verdana" w:cs="Times New Roman"/>
          <w:noProof/>
          <w:color w:val="000000"/>
        </w:rPr>
        <w:drawing>
          <wp:inline distT="0" distB="0" distL="0" distR="0" wp14:anchorId="46FEB796" wp14:editId="20FAFBEC">
            <wp:extent cx="160020" cy="160020"/>
            <wp:effectExtent l="0" t="0" r="0" b="0"/>
            <wp:docPr id="25" name="Picture 25">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50" w:anchor="co_pp_sp_231_206" w:history="1">
        <w:r w:rsidR="00DE6F1B" w:rsidRPr="004D2D8F">
          <w:rPr>
            <w:rFonts w:ascii="Verdana" w:hAnsi="Verdana" w:cs="Times New Roman"/>
            <w:i/>
            <w:iCs/>
            <w:color w:val="0000FF"/>
          </w:rPr>
          <w:t>Herron v. State Farm Mut. Ins. Co.</w:t>
        </w:r>
        <w:r w:rsidR="00DE6F1B" w:rsidRPr="004D2D8F">
          <w:rPr>
            <w:rFonts w:ascii="Verdana" w:hAnsi="Verdana" w:cs="Times New Roman"/>
            <w:color w:val="0000FF"/>
          </w:rPr>
          <w:t xml:space="preserve">, 56 Cal. 2d 202, 206, 14 </w:t>
        </w:r>
        <w:proofErr w:type="spellStart"/>
        <w:r w:rsidR="00DE6F1B" w:rsidRPr="004D2D8F">
          <w:rPr>
            <w:rFonts w:ascii="Verdana" w:hAnsi="Verdana" w:cs="Times New Roman"/>
            <w:color w:val="0000FF"/>
          </w:rPr>
          <w:t>Cal.Rptr</w:t>
        </w:r>
        <w:proofErr w:type="spellEnd"/>
        <w:r w:rsidR="00DE6F1B" w:rsidRPr="004D2D8F">
          <w:rPr>
            <w:rFonts w:ascii="Verdana" w:hAnsi="Verdana" w:cs="Times New Roman"/>
            <w:color w:val="0000FF"/>
          </w:rPr>
          <w:t>. 294, 363 P.2d 310 (1961)</w:t>
        </w:r>
      </w:hyperlink>
      <w:r w:rsidR="00DE6F1B" w:rsidRPr="004D2D8F">
        <w:rPr>
          <w:rFonts w:ascii="Verdana" w:hAnsi="Verdana" w:cs="Times New Roman"/>
          <w:color w:val="000000"/>
        </w:rPr>
        <w:t xml:space="preserve">. Considerations include whether “the means of interference involve no more than recognized trade practices,” </w:t>
      </w:r>
      <w:r w:rsidRPr="004D2D8F">
        <w:rPr>
          <w:rFonts w:ascii="Verdana" w:hAnsi="Verdana" w:cs="Times New Roman"/>
          <w:noProof/>
          <w:color w:val="000000"/>
        </w:rPr>
        <w:drawing>
          <wp:inline distT="0" distB="0" distL="0" distR="0" wp14:anchorId="34D5C1C5" wp14:editId="55E9C918">
            <wp:extent cx="160020" cy="160020"/>
            <wp:effectExtent l="0" t="0" r="0" b="0"/>
            <wp:docPr id="26" name="Picture 26">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52" w:anchor="co_pp_sp_231_546" w:history="1">
        <w:proofErr w:type="spellStart"/>
        <w:r w:rsidR="00DE6F1B" w:rsidRPr="004D2D8F">
          <w:rPr>
            <w:rFonts w:ascii="Verdana" w:hAnsi="Verdana" w:cs="Times New Roman"/>
            <w:i/>
            <w:iCs/>
            <w:color w:val="0000FF"/>
          </w:rPr>
          <w:t>Buxbom</w:t>
        </w:r>
        <w:proofErr w:type="spellEnd"/>
        <w:r w:rsidR="00DE6F1B" w:rsidRPr="004D2D8F">
          <w:rPr>
            <w:rFonts w:ascii="Verdana" w:hAnsi="Verdana" w:cs="Times New Roman"/>
            <w:i/>
            <w:iCs/>
            <w:color w:val="0000FF"/>
          </w:rPr>
          <w:t xml:space="preserve"> v. Smith</w:t>
        </w:r>
        <w:r w:rsidR="00DE6F1B" w:rsidRPr="004D2D8F">
          <w:rPr>
            <w:rFonts w:ascii="Verdana" w:hAnsi="Verdana" w:cs="Times New Roman"/>
            <w:color w:val="0000FF"/>
          </w:rPr>
          <w:t>, 23 Cal. 2d 535, 546, 145 P.2d 305 (1944)</w:t>
        </w:r>
      </w:hyperlink>
      <w:r w:rsidR="00DE6F1B" w:rsidRPr="004D2D8F">
        <w:rPr>
          <w:rFonts w:ascii="Verdana" w:hAnsi="Verdana" w:cs="Times New Roman"/>
          <w:color w:val="000000"/>
        </w:rPr>
        <w:t xml:space="preserve">, and whether the conduct is “within the realm of fair competition,” </w:t>
      </w:r>
      <w:r w:rsidRPr="004D2D8F">
        <w:rPr>
          <w:rFonts w:ascii="Verdana" w:hAnsi="Verdana" w:cs="Times New Roman"/>
          <w:noProof/>
          <w:color w:val="000000"/>
        </w:rPr>
        <w:drawing>
          <wp:inline distT="0" distB="0" distL="0" distR="0" wp14:anchorId="077778F6" wp14:editId="5E314FC7">
            <wp:extent cx="160020" cy="160020"/>
            <wp:effectExtent l="0" t="0" r="0" b="0"/>
            <wp:docPr id="27" name="Picture 2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54" w:anchor="co_pp_sp_226_127" w:history="1">
        <w:r w:rsidR="00DE6F1B" w:rsidRPr="004D2D8F">
          <w:rPr>
            <w:rFonts w:ascii="Verdana" w:hAnsi="Verdana" w:cs="Times New Roman"/>
            <w:i/>
            <w:iCs/>
            <w:color w:val="0000FF"/>
          </w:rPr>
          <w:t>Inst. of Veterinary Pathology, Inc. v. Cal. Health Labs., Inc.</w:t>
        </w:r>
        <w:r w:rsidR="00DE6F1B" w:rsidRPr="004D2D8F">
          <w:rPr>
            <w:rFonts w:ascii="Verdana" w:hAnsi="Verdana" w:cs="Times New Roman"/>
            <w:color w:val="0000FF"/>
          </w:rPr>
          <w:t xml:space="preserve">, 116 Cal. App. 3d 111, 127, 172 </w:t>
        </w:r>
        <w:proofErr w:type="spellStart"/>
        <w:r w:rsidR="00DE6F1B" w:rsidRPr="004D2D8F">
          <w:rPr>
            <w:rFonts w:ascii="Verdana" w:hAnsi="Verdana" w:cs="Times New Roman"/>
            <w:color w:val="0000FF"/>
          </w:rPr>
          <w:t>Cal.Rptr</w:t>
        </w:r>
        <w:proofErr w:type="spellEnd"/>
        <w:r w:rsidR="00DE6F1B" w:rsidRPr="004D2D8F">
          <w:rPr>
            <w:rFonts w:ascii="Verdana" w:hAnsi="Verdana" w:cs="Times New Roman"/>
            <w:color w:val="0000FF"/>
          </w:rPr>
          <w:t xml:space="preserve">. 74 (Cal. </w:t>
        </w:r>
        <w:r w:rsidR="00DE6F1B" w:rsidRPr="004D2D8F">
          <w:rPr>
            <w:rFonts w:ascii="Verdana" w:hAnsi="Verdana" w:cs="Times New Roman"/>
            <w:color w:val="0000FF"/>
          </w:rPr>
          <w:lastRenderedPageBreak/>
          <w:t>Ct. App. 1981)</w:t>
        </w:r>
      </w:hyperlink>
      <w:r w:rsidR="00DE6F1B" w:rsidRPr="004D2D8F">
        <w:rPr>
          <w:rFonts w:ascii="Verdana" w:hAnsi="Verdana" w:cs="Times New Roman"/>
          <w:color w:val="000000"/>
        </w:rPr>
        <w:t xml:space="preserve">. The “determinative question” is whether the business interest is pretextual or “asserted in good faith.” </w:t>
      </w:r>
      <w:r w:rsidRPr="004D2D8F">
        <w:rPr>
          <w:rFonts w:ascii="Verdana" w:hAnsi="Verdana" w:cs="Times New Roman"/>
          <w:noProof/>
          <w:color w:val="000000"/>
        </w:rPr>
        <w:drawing>
          <wp:inline distT="0" distB="0" distL="0" distR="0" wp14:anchorId="0D683968" wp14:editId="7C2C205D">
            <wp:extent cx="160020" cy="160020"/>
            <wp:effectExtent l="0" t="0" r="0" b="0"/>
            <wp:docPr id="28" name="Picture 28">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56" w:anchor="co_pp_sp_226_81" w:history="1">
        <w:r w:rsidR="00DE6F1B" w:rsidRPr="004D2D8F">
          <w:rPr>
            <w:rFonts w:ascii="Verdana" w:hAnsi="Verdana" w:cs="Times New Roman"/>
            <w:i/>
            <w:iCs/>
            <w:color w:val="0000FF"/>
          </w:rPr>
          <w:t xml:space="preserve">Richardson v. La </w:t>
        </w:r>
        <w:proofErr w:type="spellStart"/>
        <w:r w:rsidR="00DE6F1B" w:rsidRPr="004D2D8F">
          <w:rPr>
            <w:rFonts w:ascii="Verdana" w:hAnsi="Verdana" w:cs="Times New Roman"/>
            <w:i/>
            <w:iCs/>
            <w:color w:val="0000FF"/>
          </w:rPr>
          <w:t>Rancherita</w:t>
        </w:r>
        <w:proofErr w:type="spellEnd"/>
        <w:r w:rsidR="00DE6F1B" w:rsidRPr="004D2D8F">
          <w:rPr>
            <w:rFonts w:ascii="Verdana" w:hAnsi="Verdana" w:cs="Times New Roman"/>
            <w:color w:val="0000FF"/>
          </w:rPr>
          <w:t xml:space="preserve">, 98 Cal. App. 3d 73, 81, 159 </w:t>
        </w:r>
        <w:proofErr w:type="spellStart"/>
        <w:r w:rsidR="00DE6F1B" w:rsidRPr="004D2D8F">
          <w:rPr>
            <w:rFonts w:ascii="Verdana" w:hAnsi="Verdana" w:cs="Times New Roman"/>
            <w:color w:val="0000FF"/>
          </w:rPr>
          <w:t>Cal.Rptr</w:t>
        </w:r>
        <w:proofErr w:type="spellEnd"/>
        <w:r w:rsidR="00DE6F1B" w:rsidRPr="004D2D8F">
          <w:rPr>
            <w:rFonts w:ascii="Verdana" w:hAnsi="Verdana" w:cs="Times New Roman"/>
            <w:color w:val="0000FF"/>
          </w:rPr>
          <w:t>. 285 (Cal. Ct. App. 1979)</w:t>
        </w:r>
      </w:hyperlink>
      <w:r w:rsidR="00DE6F1B" w:rsidRPr="004D2D8F">
        <w:rPr>
          <w:rFonts w:ascii="Verdana" w:hAnsi="Verdana" w:cs="Times New Roman"/>
          <w:color w:val="000000"/>
        </w:rPr>
        <w:t>.</w:t>
      </w:r>
    </w:p>
    <w:p w14:paraId="79C77409"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3BB8197" w14:textId="63C41DED"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46" w:name="co_anchor_B202049136286_1"/>
      <w:bookmarkEnd w:id="46"/>
      <w:r w:rsidRPr="004D2D8F">
        <w:rPr>
          <w:rFonts w:ascii="Verdana" w:hAnsi="Verdana" w:cs="Times New Roman"/>
          <w:color w:val="000000"/>
        </w:rPr>
        <w:t xml:space="preserve">Balancing the interest in contractual stability and the specific interests interfered with against the interests advanced by the interference, we agree with the district court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at least raised a serious question on the merits of LinkedIn’s affirmative justification defense. First,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a strong commercial interest in fulfilling its contractual obligations to large clients like eBay and Capital One. Those companies benefit from </w:t>
      </w:r>
      <w:bookmarkStart w:id="47" w:name="co_pp_sp_506_998_1"/>
      <w:bookmarkEnd w:id="47"/>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ability to access, aggregate, and analyze data from LinkedIn profiles.</w:t>
      </w:r>
    </w:p>
    <w:p w14:paraId="7B6775A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4B19E5AE" w14:textId="398268B8"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48" w:name="co_anchor_B212049136286_1"/>
      <w:bookmarkEnd w:id="48"/>
      <w:r w:rsidRPr="004D2D8F">
        <w:rPr>
          <w:rFonts w:ascii="Verdana" w:hAnsi="Verdana" w:cs="Times New Roman"/>
          <w:color w:val="000000"/>
        </w:rPr>
        <w:t>Second, LinkedIn’s means of interference is likely not a “recognized trade practice” as California courts have understood that term. “Recognized trade practices” include such activities as “advertising,” “price-cutting,” and “</w:t>
      </w:r>
      <w:proofErr w:type="spellStart"/>
      <w:r w:rsidRPr="004D2D8F">
        <w:rPr>
          <w:rFonts w:ascii="Verdana" w:hAnsi="Verdana" w:cs="Times New Roman"/>
          <w:color w:val="000000"/>
        </w:rPr>
        <w:t>hir</w:t>
      </w:r>
      <w:proofErr w:type="spellEnd"/>
      <w:r w:rsidRPr="004D2D8F">
        <w:rPr>
          <w:rFonts w:ascii="Verdana" w:hAnsi="Verdana" w:cs="Times New Roman"/>
          <w:color w:val="000000"/>
        </w:rPr>
        <w:t>[</w:t>
      </w:r>
      <w:proofErr w:type="spellStart"/>
      <w:r w:rsidRPr="004D2D8F">
        <w:rPr>
          <w:rFonts w:ascii="Verdana" w:hAnsi="Verdana" w:cs="Times New Roman"/>
          <w:color w:val="000000"/>
        </w:rPr>
        <w:t>ing</w:t>
      </w:r>
      <w:proofErr w:type="spellEnd"/>
      <w:r w:rsidRPr="004D2D8F">
        <w:rPr>
          <w:rFonts w:ascii="Verdana" w:hAnsi="Verdana" w:cs="Times New Roman"/>
          <w:color w:val="000000"/>
        </w:rPr>
        <w:t xml:space="preserve">] the employees of another for use in the hirer’s business,” </w:t>
      </w:r>
      <w:r w:rsidR="004D2D8F" w:rsidRPr="004D2D8F">
        <w:rPr>
          <w:rFonts w:ascii="Verdana" w:hAnsi="Verdana" w:cs="Times New Roman"/>
          <w:noProof/>
          <w:color w:val="000000"/>
        </w:rPr>
        <w:drawing>
          <wp:inline distT="0" distB="0" distL="0" distR="0" wp14:anchorId="726EFB8F" wp14:editId="34B9085B">
            <wp:extent cx="160020" cy="160020"/>
            <wp:effectExtent l="0" t="0" r="0" b="0"/>
            <wp:docPr id="29" name="Picture 29">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57" w:anchor="co_pp_sp_231_546" w:history="1">
        <w:proofErr w:type="spellStart"/>
        <w:r w:rsidRPr="004D2D8F">
          <w:rPr>
            <w:rFonts w:ascii="Verdana" w:hAnsi="Verdana" w:cs="Times New Roman"/>
            <w:i/>
            <w:iCs/>
            <w:color w:val="0000FF"/>
          </w:rPr>
          <w:t>Buxbom</w:t>
        </w:r>
        <w:proofErr w:type="spellEnd"/>
        <w:r w:rsidRPr="004D2D8F">
          <w:rPr>
            <w:rFonts w:ascii="Verdana" w:hAnsi="Verdana" w:cs="Times New Roman"/>
            <w:color w:val="0000FF"/>
          </w:rPr>
          <w:t>, 23 Cal. 2d at 546–47, 145 P.2d 305</w:t>
        </w:r>
      </w:hyperlink>
      <w:r w:rsidRPr="004D2D8F">
        <w:rPr>
          <w:rFonts w:ascii="Verdana" w:hAnsi="Verdana" w:cs="Times New Roman"/>
          <w:color w:val="000000"/>
        </w:rPr>
        <w:t xml:space="preserve">—all practices which may indirectly interfere with a competitor’s contracts but do not fundamentally undermine a competitor’s basic business model. LinkedIn’s proactive technical measures to selectively block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access to the data on its site are not similar to trade practices heretofore recognized as acceptable justifications for contract interference.</w:t>
      </w:r>
    </w:p>
    <w:p w14:paraId="3B8D25D8"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0F19CF2" w14:textId="7E4B47A5"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Further, LinkedIn’s conduct may well not be “within the realm of fair competition.” </w:t>
      </w:r>
      <w:r w:rsidR="004D2D8F" w:rsidRPr="004D2D8F">
        <w:rPr>
          <w:rFonts w:ascii="Verdana" w:hAnsi="Verdana" w:cs="Times New Roman"/>
          <w:noProof/>
          <w:color w:val="000000"/>
        </w:rPr>
        <w:drawing>
          <wp:inline distT="0" distB="0" distL="0" distR="0" wp14:anchorId="26B5804E" wp14:editId="638B9E78">
            <wp:extent cx="160020" cy="160020"/>
            <wp:effectExtent l="0" t="0" r="0" b="0"/>
            <wp:docPr id="30" name="Picture 3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58" w:anchor="co_pp_sp_226_127" w:history="1">
        <w:r w:rsidRPr="004D2D8F">
          <w:rPr>
            <w:rFonts w:ascii="Verdana" w:hAnsi="Verdana" w:cs="Times New Roman"/>
            <w:i/>
            <w:iCs/>
            <w:color w:val="0000FF"/>
          </w:rPr>
          <w:t>Inst. of Veterinary Pathology</w:t>
        </w:r>
        <w:r w:rsidRPr="004D2D8F">
          <w:rPr>
            <w:rFonts w:ascii="Verdana" w:hAnsi="Verdana" w:cs="Times New Roman"/>
            <w:color w:val="0000FF"/>
          </w:rPr>
          <w:t xml:space="preserve">, 116 Cal. App. 3d at 127, 172 </w:t>
        </w:r>
        <w:proofErr w:type="spellStart"/>
        <w:r w:rsidRPr="004D2D8F">
          <w:rPr>
            <w:rFonts w:ascii="Verdana" w:hAnsi="Verdana" w:cs="Times New Roman"/>
            <w:color w:val="0000FF"/>
          </w:rPr>
          <w:t>Cal.Rptr</w:t>
        </w:r>
        <w:proofErr w:type="spellEnd"/>
        <w:r w:rsidRPr="004D2D8F">
          <w:rPr>
            <w:rFonts w:ascii="Verdana" w:hAnsi="Verdana" w:cs="Times New Roman"/>
            <w:color w:val="0000FF"/>
          </w:rPr>
          <w:t>. 74</w:t>
        </w:r>
      </w:hyperlink>
      <w:r w:rsidRPr="004D2D8F">
        <w:rPr>
          <w:rFonts w:ascii="Verdana" w:hAnsi="Verdana" w:cs="Times New Roman"/>
          <w:color w:val="000000"/>
        </w:rPr>
        <w:t xml:space="preserve">.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raised serious questions about whether LinkedIn’s actions to ban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bots were taken in furtherance of LinkedIn’s own plans to introduce a competing professional data analytics tool. There is evidence from which it can be inferred that LinkedIn knew about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and its reliance on external data for several years before the present controversy. Its decision to send a cease-and-desist letter occurred within a month of the announcement by LinkedIn’s CEO that LinkedIn planned to leverage the data on its platform to create a new product for employers with some similarities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Skill Mapper product. If companies like LinkedIn, whose servers hold vast amounts of public data, are permitted selectively to ban only potential competitors from accessing and using that otherwise public data, the result—complete exclusion of the original innovator in aggregating and analyzing the public information—may well be considered unfair competition under California law.</w:t>
      </w:r>
      <w:bookmarkStart w:id="49" w:name="co_fnRef_B00112049136286_ID0EC3BI_1"/>
      <w:bookmarkEnd w:id="49"/>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"#co_footnote_B00112049136286_1"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9</w:t>
      </w:r>
      <w:r w:rsidRPr="004D2D8F">
        <w:rPr>
          <w:rFonts w:ascii="Verdana" w:hAnsi="Verdana" w:cs="Times New Roman"/>
          <w:color w:val="000000"/>
        </w:rPr>
        <w:fldChar w:fldCharType="end"/>
      </w:r>
    </w:p>
    <w:p w14:paraId="401EC2B6"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7208EF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Finally, LinkedIn’s asserted private business interests</w:t>
      </w:r>
      <w:proofErr w:type="gramStart"/>
      <w:r w:rsidRPr="004D2D8F">
        <w:rPr>
          <w:rFonts w:ascii="Verdana" w:hAnsi="Verdana" w:cs="Times New Roman"/>
          <w:color w:val="000000"/>
        </w:rPr>
        <w:t>—“</w:t>
      </w:r>
      <w:proofErr w:type="gramEnd"/>
      <w:r w:rsidRPr="004D2D8F">
        <w:rPr>
          <w:rFonts w:ascii="Verdana" w:hAnsi="Verdana" w:cs="Times New Roman"/>
          <w:color w:val="000000"/>
        </w:rPr>
        <w:t xml:space="preserve">protecting its members’ data and the investment made in developing its platform” and “enforcing its User Agreements’ prohibitions on automated scraping”—are relatively weak. LinkedIn has only a non-exclusive license to the data shared on its platform, not an ownership interest. Its core business model—providing a platform to share professional information—does not require prohibiting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use of that information, as evidenced by the fact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used LinkedIn data for some time before LinkedIn sent its cease-and-desist letter. As to its members’ interests in their data, for the reasons already explained, </w:t>
      </w:r>
      <w:r w:rsidRPr="004D2D8F">
        <w:rPr>
          <w:rFonts w:ascii="Verdana" w:hAnsi="Verdana" w:cs="Times New Roman"/>
          <w:i/>
          <w:iCs/>
          <w:color w:val="000000"/>
        </w:rPr>
        <w:t>see supra</w:t>
      </w:r>
      <w:r w:rsidRPr="004D2D8F">
        <w:rPr>
          <w:rFonts w:ascii="Verdana" w:hAnsi="Verdana" w:cs="Times New Roman"/>
          <w:color w:val="000000"/>
        </w:rPr>
        <w:t xml:space="preserve"> pp. 994–95, we agree with the district court that members’ privacy expectations regarding information they have shared in their public profiles are “uncertain at best.” Further, there is evidence that LinkedIn has itself developed a data analytics tool similar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products, undermining LinkedIn’s claim that it has its members’ privacy interests in mind. Finally, LinkedIn has not explained how it can enforce its user agreement against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now that its user status has been terminated.</w:t>
      </w:r>
    </w:p>
    <w:p w14:paraId="371890B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44738162" w14:textId="5D1F9B33"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50" w:name="co_anchor_B222049136286_1"/>
      <w:bookmarkEnd w:id="50"/>
      <w:r w:rsidRPr="004D2D8F">
        <w:rPr>
          <w:rFonts w:ascii="Verdana" w:hAnsi="Verdana" w:cs="Times New Roman"/>
          <w:color w:val="000000"/>
        </w:rPr>
        <w:lastRenderedPageBreak/>
        <w:t xml:space="preserve">For all these reasons, LinkedIn may well not be able to demonstrate a “legitimate business purpose” that could </w:t>
      </w:r>
      <w:bookmarkStart w:id="51" w:name="co_pp_sp_506_999_1"/>
      <w:bookmarkEnd w:id="51"/>
      <w:r w:rsidRPr="004D2D8F">
        <w:rPr>
          <w:rFonts w:ascii="Verdana" w:hAnsi="Verdana" w:cs="Times New Roman"/>
          <w:color w:val="000000"/>
        </w:rPr>
        <w:t xml:space="preserve">justify the intentional inducement of a contract breach, at least on the record now before us. We therefore conclude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raised at least serious questions going to the merits of its tortious interference with contract claim. As that showing on the tortious interference claim is sufficient to support an injunction prohibiting LinkedIn from selectively blocking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access to public member profiles, we do not reach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unfair competition claim.</w:t>
      </w:r>
      <w:bookmarkStart w:id="52" w:name="co_fnRef_B00122049136286_ID0EN6BI_1"/>
      <w:bookmarkEnd w:id="52"/>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"#co_footnote_B00122049136286_1"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10</w:t>
      </w:r>
      <w:r w:rsidRPr="004D2D8F">
        <w:rPr>
          <w:rFonts w:ascii="Verdana" w:hAnsi="Verdana" w:cs="Times New Roman"/>
          <w:color w:val="000000"/>
        </w:rPr>
        <w:fldChar w:fldCharType="end"/>
      </w:r>
    </w:p>
    <w:p w14:paraId="56E2C051" w14:textId="45A7C8D6" w:rsidR="00586E12" w:rsidRPr="004D2D8F" w:rsidRDefault="00DE6F1B" w:rsidP="00F761CD">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bookmarkStart w:id="53" w:name="co_anchor_I55e7d811f42b11eaaf228f22ef91b"/>
      <w:bookmarkEnd w:id="53"/>
    </w:p>
    <w:p w14:paraId="30A4E93C" w14:textId="7943C4CF" w:rsidR="00586E12"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bookmarkStart w:id="54" w:name="co_anchor_I5600de51f42b11eaaf228f22ef91b"/>
      <w:bookmarkEnd w:id="54"/>
      <w:r w:rsidR="00F761CD">
        <w:rPr>
          <w:rFonts w:ascii="Verdana" w:hAnsi="Verdana" w:cs="Times New Roman"/>
          <w:color w:val="000000"/>
        </w:rPr>
        <w:t>***</w:t>
      </w:r>
    </w:p>
    <w:p w14:paraId="37E22D0A" w14:textId="7AE6AB93" w:rsidR="00F761CD" w:rsidRDefault="00F761CD">
      <w:pPr>
        <w:widowControl w:val="0"/>
        <w:autoSpaceDE w:val="0"/>
        <w:autoSpaceDN w:val="0"/>
        <w:adjustRightInd w:val="0"/>
        <w:spacing w:after="0" w:line="240" w:lineRule="auto"/>
        <w:jc w:val="both"/>
        <w:rPr>
          <w:rFonts w:ascii="Verdana" w:hAnsi="Verdana" w:cs="Times New Roman"/>
          <w:color w:val="000000"/>
        </w:rPr>
      </w:pPr>
    </w:p>
    <w:p w14:paraId="7E512986" w14:textId="77777777" w:rsidR="00F761CD" w:rsidRPr="004D2D8F" w:rsidRDefault="00F761CD">
      <w:pPr>
        <w:widowControl w:val="0"/>
        <w:autoSpaceDE w:val="0"/>
        <w:autoSpaceDN w:val="0"/>
        <w:adjustRightInd w:val="0"/>
        <w:spacing w:after="0" w:line="240" w:lineRule="auto"/>
        <w:jc w:val="both"/>
        <w:rPr>
          <w:rFonts w:ascii="Verdana" w:hAnsi="Verdana" w:cs="Times New Roman"/>
          <w:color w:val="000000"/>
        </w:rPr>
      </w:pPr>
    </w:p>
    <w:p w14:paraId="41946A47" w14:textId="77777777" w:rsidR="00586E12" w:rsidRPr="004D2D8F" w:rsidRDefault="00DE6F1B">
      <w:pPr>
        <w:widowControl w:val="0"/>
        <w:autoSpaceDE w:val="0"/>
        <w:autoSpaceDN w:val="0"/>
        <w:adjustRightInd w:val="0"/>
        <w:spacing w:before="400" w:after="0" w:line="240" w:lineRule="auto"/>
        <w:ind w:left="200"/>
        <w:rPr>
          <w:rFonts w:ascii="Verdana" w:hAnsi="Verdana" w:cs="Times New Roman"/>
          <w:b/>
          <w:bCs/>
          <w:color w:val="000000"/>
        </w:rPr>
      </w:pPr>
      <w:r w:rsidRPr="004D2D8F">
        <w:rPr>
          <w:rFonts w:ascii="Verdana" w:hAnsi="Verdana" w:cs="Times New Roman"/>
          <w:b/>
          <w:bCs/>
          <w:color w:val="000000"/>
        </w:rPr>
        <w:t>D. Public Interest</w:t>
      </w:r>
    </w:p>
    <w:p w14:paraId="75BE0A92"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55" w:name="co_anchor_B252049136286_1"/>
      <w:bookmarkEnd w:id="55"/>
      <w:r w:rsidRPr="004D2D8F">
        <w:rPr>
          <w:rFonts w:ascii="Verdana" w:hAnsi="Verdana" w:cs="Times New Roman"/>
          <w:color w:val="000000"/>
        </w:rPr>
        <w:t xml:space="preserve">Finally, we must consider the public interest in granting or denying the preliminary injunction. Whereas the balance of equities focuses on the parties, “[t]he public interest inquiry primarily addresses impact on non-parties rather than parties,” and takes into consideration “the public consequences in employing the extraordinary remedy of injunction.” </w:t>
      </w:r>
      <w:hyperlink r:id="rId59" w:anchor="co_pp_sp_506_931" w:history="1">
        <w:r w:rsidRPr="004D2D8F">
          <w:rPr>
            <w:rFonts w:ascii="Verdana" w:hAnsi="Verdana" w:cs="Times New Roman"/>
            <w:i/>
            <w:iCs/>
            <w:color w:val="0000FF"/>
          </w:rPr>
          <w:t xml:space="preserve">Bernhardt v. Los Angeles </w:t>
        </w:r>
        <w:proofErr w:type="spellStart"/>
        <w:r w:rsidRPr="004D2D8F">
          <w:rPr>
            <w:rFonts w:ascii="Verdana" w:hAnsi="Verdana" w:cs="Times New Roman"/>
            <w:i/>
            <w:iCs/>
            <w:color w:val="0000FF"/>
          </w:rPr>
          <w:t>Cty</w:t>
        </w:r>
        <w:proofErr w:type="spellEnd"/>
        <w:r w:rsidRPr="004D2D8F">
          <w:rPr>
            <w:rFonts w:ascii="Verdana" w:hAnsi="Verdana" w:cs="Times New Roman"/>
            <w:i/>
            <w:iCs/>
            <w:color w:val="0000FF"/>
          </w:rPr>
          <w:t>.</w:t>
        </w:r>
        <w:r w:rsidRPr="004D2D8F">
          <w:rPr>
            <w:rFonts w:ascii="Verdana" w:hAnsi="Verdana" w:cs="Times New Roman"/>
            <w:color w:val="0000FF"/>
          </w:rPr>
          <w:t>, 339 F.3d 920, 931–32 (9th Cir. 2003)</w:t>
        </w:r>
      </w:hyperlink>
      <w:r w:rsidRPr="004D2D8F">
        <w:rPr>
          <w:rFonts w:ascii="Verdana" w:hAnsi="Verdana" w:cs="Times New Roman"/>
          <w:color w:val="000000"/>
        </w:rPr>
        <w:t xml:space="preserve"> (citations omitted).</w:t>
      </w:r>
    </w:p>
    <w:p w14:paraId="16A868A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55C3411B" w14:textId="234DD025"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bookmarkStart w:id="56" w:name="co_anchor_B262049136286_1"/>
      <w:bookmarkEnd w:id="56"/>
      <w:r w:rsidRPr="004D2D8F">
        <w:rPr>
          <w:rFonts w:ascii="Verdana" w:hAnsi="Verdana" w:cs="Times New Roman"/>
          <w:color w:val="000000"/>
        </w:rPr>
        <w:t xml:space="preserve">As the district court observed, each side asserts that its own position would benefit the public interest by maximizing the free flow of information on the Internet.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points out that data scraping is a common method of gathering information, used by search engines, academic researchers, and many others. According to </w:t>
      </w:r>
      <w:bookmarkStart w:id="57" w:name="co_pp_sp_506_1005_1"/>
      <w:bookmarkEnd w:id="57"/>
      <w:proofErr w:type="spellStart"/>
      <w:r w:rsidRPr="004D2D8F">
        <w:rPr>
          <w:rFonts w:ascii="Verdana" w:hAnsi="Verdana" w:cs="Times New Roman"/>
          <w:color w:val="000000"/>
        </w:rPr>
        <w:t>hiQ</w:t>
      </w:r>
      <w:proofErr w:type="spellEnd"/>
      <w:r w:rsidRPr="004D2D8F">
        <w:rPr>
          <w:rFonts w:ascii="Verdana" w:hAnsi="Verdana" w:cs="Times New Roman"/>
          <w:color w:val="000000"/>
        </w:rPr>
        <w:t>, letting established entities that already have accumulated large user data sets decide who can scrape that data from otherwise public websites gives those entities outsized control over how such data may be put to use.</w:t>
      </w:r>
    </w:p>
    <w:p w14:paraId="3EA5875E"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6F4703D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For its part, LinkedIn argues that the preliminary injunction is against the public interest because it will invite malicious actors to access LinkedIn’s computers and attack its servers. As a result, the argument goes, LinkedIn and other companies with public websites will be forced to choose between leaving their servers open to such attacks or protecting their websites with passwords, thereby cutting them off from public view.</w:t>
      </w:r>
    </w:p>
    <w:p w14:paraId="126ABE53"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2414359E"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Although there are significant public interests on both sides, the district court properly determined that, on balance, the public interest favors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position. We agree with the district court that giving companies like LinkedIn free rein to decide, on any basis, who can collect and use data—data that the companies do not own, that they otherwise make publicly available to viewers, and that the companies themselves collect and use—risks the possible creation of information monopolies that would disserve the public interest.</w:t>
      </w:r>
    </w:p>
    <w:p w14:paraId="3659C278"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2C8647CB"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Internet companies and the public do have a substantial interest in thwarting denial-of-service attacks</w:t>
      </w:r>
      <w:bookmarkStart w:id="58" w:name="co_fnRef_B00182049136286_ID0E4UAK_1"/>
      <w:bookmarkEnd w:id="58"/>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"#co_footnote_B00182049136286_1"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16</w:t>
      </w:r>
      <w:r w:rsidRPr="004D2D8F">
        <w:rPr>
          <w:rFonts w:ascii="Verdana" w:hAnsi="Verdana" w:cs="Times New Roman"/>
          <w:color w:val="000000"/>
        </w:rPr>
        <w:fldChar w:fldCharType="end"/>
      </w:r>
      <w:r w:rsidRPr="004D2D8F">
        <w:rPr>
          <w:rFonts w:ascii="Verdana" w:hAnsi="Verdana" w:cs="Times New Roman"/>
          <w:color w:val="000000"/>
        </w:rPr>
        <w:t xml:space="preserve"> and blocking abusive users, identity thieves, and other ill-intentioned actors. But we do not view the district court’s injunction as opening the door to such malicious activity. The district court made clear that the injunction does not preclude LinkedIn from continuing to engage in “technological self-help” against bad actors—for example, by employing “anti-bot measures to prevent, </w:t>
      </w:r>
      <w:r w:rsidRPr="004D2D8F">
        <w:rPr>
          <w:rFonts w:ascii="Verdana" w:hAnsi="Verdana" w:cs="Times New Roman"/>
          <w:i/>
          <w:iCs/>
          <w:color w:val="000000"/>
        </w:rPr>
        <w:t>e.g.</w:t>
      </w:r>
      <w:r w:rsidRPr="004D2D8F">
        <w:rPr>
          <w:rFonts w:ascii="Verdana" w:hAnsi="Verdana" w:cs="Times New Roman"/>
          <w:color w:val="000000"/>
        </w:rPr>
        <w:t xml:space="preserve">, harmful intrusions or attacks </w:t>
      </w:r>
      <w:r w:rsidRPr="004D2D8F">
        <w:rPr>
          <w:rFonts w:ascii="Verdana" w:hAnsi="Verdana" w:cs="Times New Roman"/>
          <w:color w:val="000000"/>
        </w:rPr>
        <w:lastRenderedPageBreak/>
        <w:t>on its server.” Although an injunction preventing a company from securing even the public parts of its website from malicious actors would raise serious concerns, such concerns are not present here.</w:t>
      </w:r>
      <w:bookmarkStart w:id="59" w:name="co_fnRef_B00192049136286_ID0EXVAK_1"/>
      <w:bookmarkEnd w:id="59"/>
      <w:r w:rsidRPr="004D2D8F">
        <w:rPr>
          <w:rFonts w:ascii="Verdana" w:hAnsi="Verdana" w:cs="Times New Roman"/>
          <w:color w:val="000000"/>
        </w:rPr>
        <w:fldChar w:fldCharType="begin"/>
      </w:r>
      <w:r w:rsidRPr="004D2D8F">
        <w:rPr>
          <w:rFonts w:ascii="Verdana" w:hAnsi="Verdana" w:cs="Times New Roman"/>
          <w:color w:val="000000"/>
        </w:rPr>
        <w:instrText xml:space="preserve">HYPERLINK "#co_footnote_B00192049136286_1"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17</w:t>
      </w:r>
      <w:r w:rsidRPr="004D2D8F">
        <w:rPr>
          <w:rFonts w:ascii="Verdana" w:hAnsi="Verdana" w:cs="Times New Roman"/>
          <w:color w:val="000000"/>
        </w:rPr>
        <w:fldChar w:fldCharType="end"/>
      </w:r>
    </w:p>
    <w:p w14:paraId="367CF43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72B0AD2D"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The district court’s conclusion that the public interest favors granting the preliminary injunction was appropriate.</w:t>
      </w:r>
    </w:p>
    <w:p w14:paraId="7EF08C1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6D3B01D4"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0BC21A21"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bookmarkStart w:id="60" w:name="co_anchor_I560487d1f42b11eaaf228f22ef91b"/>
      <w:bookmarkEnd w:id="60"/>
    </w:p>
    <w:p w14:paraId="30711E0F" w14:textId="77777777" w:rsidR="00586E12" w:rsidRPr="004D2D8F" w:rsidRDefault="00DE6F1B">
      <w:pPr>
        <w:widowControl w:val="0"/>
        <w:autoSpaceDE w:val="0"/>
        <w:autoSpaceDN w:val="0"/>
        <w:adjustRightInd w:val="0"/>
        <w:spacing w:before="600" w:after="200" w:line="240" w:lineRule="auto"/>
        <w:jc w:val="center"/>
        <w:rPr>
          <w:rFonts w:ascii="Verdana" w:hAnsi="Verdana" w:cs="Times New Roman"/>
          <w:b/>
          <w:bCs/>
          <w:color w:val="000000"/>
        </w:rPr>
      </w:pPr>
      <w:r w:rsidRPr="004D2D8F">
        <w:rPr>
          <w:rFonts w:ascii="Verdana" w:hAnsi="Verdana" w:cs="Times New Roman"/>
          <w:b/>
          <w:bCs/>
          <w:color w:val="000000"/>
        </w:rPr>
        <w:t>CONCLUSION</w:t>
      </w:r>
    </w:p>
    <w:p w14:paraId="7E9AF68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We </w:t>
      </w:r>
      <w:r w:rsidRPr="004D2D8F">
        <w:rPr>
          <w:rFonts w:ascii="Verdana" w:hAnsi="Verdana" w:cs="Times New Roman"/>
          <w:b/>
          <w:bCs/>
          <w:color w:val="000000"/>
        </w:rPr>
        <w:t>AFFIRM</w:t>
      </w:r>
      <w:r w:rsidRPr="004D2D8F">
        <w:rPr>
          <w:rFonts w:ascii="Verdana" w:hAnsi="Verdana" w:cs="Times New Roman"/>
          <w:color w:val="000000"/>
        </w:rPr>
        <w:t xml:space="preserve"> the district court’s determination that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established the elements required for a preliminary injunction and remand for further proceedings.</w:t>
      </w:r>
    </w:p>
    <w:p w14:paraId="19F03AB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30083AD8" w14:textId="77777777" w:rsidR="00586E12" w:rsidRPr="004D2D8F" w:rsidRDefault="00586E12">
      <w:pPr>
        <w:widowControl w:val="0"/>
        <w:autoSpaceDE w:val="0"/>
        <w:autoSpaceDN w:val="0"/>
        <w:adjustRightInd w:val="0"/>
        <w:spacing w:after="0" w:line="240" w:lineRule="auto"/>
        <w:jc w:val="both"/>
        <w:rPr>
          <w:rFonts w:ascii="Verdana" w:hAnsi="Verdana" w:cs="Times New Roman"/>
          <w:b/>
          <w:bCs/>
          <w:color w:val="212121"/>
        </w:rPr>
      </w:pPr>
      <w:bookmarkStart w:id="61" w:name="co_concurrance_opinion_1"/>
      <w:bookmarkEnd w:id="61"/>
    </w:p>
    <w:p w14:paraId="4CEBF967"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w:t>
      </w:r>
    </w:p>
    <w:p w14:paraId="0854D26A" w14:textId="1B2A9E15"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bookmarkStart w:id="62" w:name="co_allCitations_1"/>
      <w:bookmarkEnd w:id="62"/>
    </w:p>
    <w:tbl>
      <w:tblPr>
        <w:tblW w:w="0" w:type="auto"/>
        <w:tblLayout w:type="fixed"/>
        <w:tblCellMar>
          <w:left w:w="0" w:type="dxa"/>
          <w:right w:w="0" w:type="dxa"/>
        </w:tblCellMar>
        <w:tblLook w:val="0000" w:firstRow="0" w:lastRow="0" w:firstColumn="0" w:lastColumn="0" w:noHBand="0" w:noVBand="0"/>
      </w:tblPr>
      <w:tblGrid>
        <w:gridCol w:w="600"/>
        <w:gridCol w:w="9480"/>
      </w:tblGrid>
      <w:tr w:rsidR="00586E12" w:rsidRPr="004D2D8F" w14:paraId="4DE31FA3" w14:textId="77777777">
        <w:tc>
          <w:tcPr>
            <w:tcW w:w="10080" w:type="dxa"/>
            <w:gridSpan w:val="2"/>
            <w:tcBorders>
              <w:top w:val="nil"/>
              <w:left w:val="nil"/>
              <w:bottom w:val="nil"/>
              <w:right w:val="nil"/>
            </w:tcBorders>
            <w:tcMar>
              <w:bottom w:w="400" w:type="dxa"/>
            </w:tcMar>
          </w:tcPr>
          <w:p w14:paraId="3918DBF0" w14:textId="77777777" w:rsidR="00586E12" w:rsidRPr="004D2D8F" w:rsidRDefault="00DE6F1B">
            <w:pPr>
              <w:widowControl w:val="0"/>
              <w:autoSpaceDE w:val="0"/>
              <w:autoSpaceDN w:val="0"/>
              <w:adjustRightInd w:val="0"/>
              <w:spacing w:after="0" w:line="240" w:lineRule="auto"/>
              <w:jc w:val="center"/>
              <w:rPr>
                <w:rFonts w:ascii="Verdana" w:hAnsi="Verdana" w:cs="Times New Roman"/>
                <w:b/>
                <w:bCs/>
                <w:color w:val="000000"/>
              </w:rPr>
            </w:pPr>
            <w:r w:rsidRPr="004D2D8F">
              <w:rPr>
                <w:rFonts w:ascii="Verdana" w:hAnsi="Verdana" w:cs="Times New Roman"/>
                <w:b/>
                <w:bCs/>
                <w:color w:val="000000"/>
              </w:rPr>
              <w:t>Footnotes</w:t>
            </w:r>
          </w:p>
          <w:p w14:paraId="09BA5F35" w14:textId="77777777" w:rsidR="00586E12" w:rsidRPr="004D2D8F" w:rsidRDefault="00586E12">
            <w:pPr>
              <w:widowControl w:val="0"/>
              <w:autoSpaceDE w:val="0"/>
              <w:autoSpaceDN w:val="0"/>
              <w:adjustRightInd w:val="0"/>
              <w:spacing w:after="0" w:line="240" w:lineRule="auto"/>
              <w:jc w:val="center"/>
              <w:rPr>
                <w:rFonts w:ascii="Verdana" w:hAnsi="Verdana" w:cs="Times New Roman"/>
                <w:b/>
                <w:bCs/>
                <w:color w:val="000000"/>
              </w:rPr>
            </w:pPr>
          </w:p>
        </w:tc>
      </w:tr>
      <w:bookmarkStart w:id="63" w:name="co_footnote_B00012049136286_1"/>
      <w:bookmarkEnd w:id="63"/>
      <w:tr w:rsidR="00586E12" w:rsidRPr="004D2D8F" w14:paraId="3ACAD74E" w14:textId="77777777">
        <w:tc>
          <w:tcPr>
            <w:tcW w:w="600" w:type="dxa"/>
            <w:tcBorders>
              <w:top w:val="nil"/>
              <w:left w:val="nil"/>
              <w:bottom w:val="nil"/>
              <w:right w:val="nil"/>
            </w:tcBorders>
          </w:tcPr>
          <w:p w14:paraId="1D419093"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"#co_fnRef_B00012049136286_ID0ESNBG_1"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w:t>
            </w:r>
            <w:r w:rsidRPr="004D2D8F">
              <w:rPr>
                <w:rFonts w:ascii="Verdana" w:hAnsi="Verdana" w:cs="Times New Roman"/>
                <w:color w:val="000000"/>
              </w:rPr>
              <w:fldChar w:fldCharType="end"/>
            </w:r>
          </w:p>
          <w:p w14:paraId="77542181"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7196445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The Honorable Terrence Berg, United States District Judge for the Eastern District of Michigan, sitting by designation.</w:t>
            </w:r>
          </w:p>
          <w:p w14:paraId="2CC91F84"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64" w:name="co_footnote_B00032049136286_1"/>
      <w:bookmarkEnd w:id="64"/>
      <w:tr w:rsidR="00586E12" w:rsidRPr="004D2D8F" w14:paraId="7049CDC7" w14:textId="77777777">
        <w:tc>
          <w:tcPr>
            <w:tcW w:w="600" w:type="dxa"/>
            <w:tcBorders>
              <w:top w:val="nil"/>
              <w:left w:val="nil"/>
              <w:bottom w:val="nil"/>
              <w:right w:val="nil"/>
            </w:tcBorders>
          </w:tcPr>
          <w:p w14:paraId="12B2A8B3"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"#co_fnRef_B00032049136286_ID0E5RBG_1"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w:t>
            </w:r>
            <w:r w:rsidRPr="004D2D8F">
              <w:rPr>
                <w:rFonts w:ascii="Verdana" w:hAnsi="Verdana" w:cs="Times New Roman"/>
                <w:color w:val="000000"/>
              </w:rPr>
              <w:fldChar w:fldCharType="end"/>
            </w:r>
          </w:p>
          <w:p w14:paraId="6AFE9AF0"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448AE711"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Direct connections (or first-degree connections) are people to whom a LinkedIn member is connected by virtue of having invited them to connect and had the invitation accepted, or of having accepted their invitation to connect. Second-degree connections are people connected to a member’s first-degree connections. Third-degree connections are people connected to a member’s second-degree connections. A LinkedIn member’s network consists of the member’s first-degree, second-degree, and third-degree connections, as well as fellow members of the same LinkedIn Groups (groups of members in the same industry or with similar interests that any member can request to join).</w:t>
            </w:r>
          </w:p>
          <w:p w14:paraId="1FCF5703"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65" w:name="co_footnote_B00042049136286_1"/>
      <w:bookmarkEnd w:id="65"/>
      <w:tr w:rsidR="00586E12" w:rsidRPr="004D2D8F" w14:paraId="79C18E31" w14:textId="77777777">
        <w:tc>
          <w:tcPr>
            <w:tcW w:w="600" w:type="dxa"/>
            <w:tcBorders>
              <w:top w:val="nil"/>
              <w:left w:val="nil"/>
              <w:bottom w:val="nil"/>
              <w:right w:val="nil"/>
            </w:tcBorders>
          </w:tcPr>
          <w:p w14:paraId="5A683444"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"#co_fnRef_B00042049136286_ID0EYTBG_1"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2</w:t>
            </w:r>
            <w:r w:rsidRPr="004D2D8F">
              <w:rPr>
                <w:rFonts w:ascii="Verdana" w:hAnsi="Verdana" w:cs="Times New Roman"/>
                <w:color w:val="000000"/>
              </w:rPr>
              <w:fldChar w:fldCharType="end"/>
            </w:r>
          </w:p>
          <w:p w14:paraId="6AAA00F9"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16F43C5B" w14:textId="1820845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A web robot (or “bot”) is an application that performs automated tasks such as retrieving and analyzing information. </w:t>
            </w:r>
            <w:r w:rsidRPr="004D2D8F">
              <w:rPr>
                <w:rFonts w:ascii="Verdana" w:hAnsi="Verdana" w:cs="Times New Roman"/>
                <w:i/>
                <w:iCs/>
                <w:color w:val="000000"/>
              </w:rPr>
              <w:t>See Definition of “bot,”</w:t>
            </w:r>
            <w:r w:rsidRPr="004D2D8F">
              <w:rPr>
                <w:rFonts w:ascii="Verdana" w:hAnsi="Verdana" w:cs="Times New Roman"/>
                <w:color w:val="000000"/>
              </w:rPr>
              <w:t xml:space="preserve"> Merriam-Webster Dictionary, https://www.merriamwebster.com/dictionary/bot (last visited July 12, 2019). A web crawler is one common type of bot that systematically searches the Internet and downloads copies of web pages, which can then be indexed by a search engine. </w:t>
            </w:r>
            <w:r w:rsidRPr="004D2D8F">
              <w:rPr>
                <w:rFonts w:ascii="Verdana" w:hAnsi="Verdana" w:cs="Times New Roman"/>
                <w:i/>
                <w:iCs/>
                <w:color w:val="000000"/>
              </w:rPr>
              <w:t xml:space="preserve">See </w:t>
            </w:r>
            <w:r w:rsidR="004D2D8F" w:rsidRPr="004D2D8F">
              <w:rPr>
                <w:rFonts w:ascii="Verdana" w:hAnsi="Verdana" w:cs="Times New Roman"/>
                <w:noProof/>
                <w:color w:val="000000"/>
              </w:rPr>
              <w:drawing>
                <wp:inline distT="0" distB="0" distL="0" distR="0" wp14:anchorId="47C8EB8A" wp14:editId="70A57FB0">
                  <wp:extent cx="160020" cy="160020"/>
                  <wp:effectExtent l="0" t="0" r="0" b="0"/>
                  <wp:docPr id="100" name="Picture 10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61" w:anchor="co_pp_sp_4637_544" w:history="1">
              <w:r w:rsidRPr="004D2D8F">
                <w:rPr>
                  <w:rFonts w:ascii="Verdana" w:hAnsi="Verdana" w:cs="Times New Roman"/>
                  <w:i/>
                  <w:iCs/>
                  <w:color w:val="0000FF"/>
                </w:rPr>
                <w:t>Assoc. Press v. Meltwater U.S. Holdings, Inc.</w:t>
              </w:r>
              <w:r w:rsidRPr="004D2D8F">
                <w:rPr>
                  <w:rFonts w:ascii="Verdana" w:hAnsi="Verdana" w:cs="Times New Roman"/>
                  <w:color w:val="0000FF"/>
                </w:rPr>
                <w:t>, 931 F. Supp. 2d 537, 544 (S.D.N.Y. 2013)</w:t>
              </w:r>
            </w:hyperlink>
            <w:r w:rsidRPr="004D2D8F">
              <w:rPr>
                <w:rFonts w:ascii="Verdana" w:hAnsi="Verdana" w:cs="Times New Roman"/>
                <w:color w:val="000000"/>
              </w:rPr>
              <w:t xml:space="preserve">; </w:t>
            </w:r>
            <w:r w:rsidRPr="004D2D8F">
              <w:rPr>
                <w:rFonts w:ascii="Verdana" w:hAnsi="Verdana" w:cs="Times New Roman"/>
                <w:i/>
                <w:iCs/>
                <w:color w:val="000000"/>
              </w:rPr>
              <w:t>Definition of “web crawler,”</w:t>
            </w:r>
            <w:r w:rsidRPr="004D2D8F">
              <w:rPr>
                <w:rFonts w:ascii="Verdana" w:hAnsi="Verdana" w:cs="Times New Roman"/>
                <w:color w:val="000000"/>
              </w:rPr>
              <w:t xml:space="preserve"> Merriam-Webster Dictionary, https://www.merriam-webster.com/dictionary/web% 20crawler (last visited July 12, 2019). A robots.txt file, also known as the </w:t>
            </w:r>
            <w:proofErr w:type="gramStart"/>
            <w:r w:rsidRPr="004D2D8F">
              <w:rPr>
                <w:rFonts w:ascii="Verdana" w:hAnsi="Verdana" w:cs="Times New Roman"/>
                <w:color w:val="000000"/>
              </w:rPr>
              <w:t>robots</w:t>
            </w:r>
            <w:proofErr w:type="gramEnd"/>
            <w:r w:rsidRPr="004D2D8F">
              <w:rPr>
                <w:rFonts w:ascii="Verdana" w:hAnsi="Verdana" w:cs="Times New Roman"/>
                <w:color w:val="000000"/>
              </w:rPr>
              <w:t xml:space="preserve"> exclusion protocol, is a widely used standard for stating the rules that a web server has adopted to govern a bot’s behavior on that server. </w:t>
            </w:r>
            <w:r w:rsidRPr="004D2D8F">
              <w:rPr>
                <w:rFonts w:ascii="Verdana" w:hAnsi="Verdana" w:cs="Times New Roman"/>
                <w:i/>
                <w:iCs/>
                <w:color w:val="000000"/>
              </w:rPr>
              <w:t>See About /robots.txt</w:t>
            </w:r>
            <w:r w:rsidRPr="004D2D8F">
              <w:rPr>
                <w:rFonts w:ascii="Verdana" w:hAnsi="Verdana" w:cs="Times New Roman"/>
                <w:color w:val="000000"/>
              </w:rPr>
              <w:t xml:space="preserve">, http://www.robotstxt.org/robotstxt.html (last visited July 12, 2019). For example, a robots.txt file might instruct specified robots to </w:t>
            </w:r>
            <w:r w:rsidRPr="004D2D8F">
              <w:rPr>
                <w:rFonts w:ascii="Verdana" w:hAnsi="Verdana" w:cs="Times New Roman"/>
                <w:color w:val="000000"/>
              </w:rPr>
              <w:lastRenderedPageBreak/>
              <w:t xml:space="preserve">ignore certain files when crawling a site, so that the files do not appear in search engine results. Adherence to the rules in a robots.txt file is voluntary; malicious bots may deliberately choose not to honor robots.txt rules and may in turn be punished with a denial of access to the website in question. </w:t>
            </w:r>
            <w:r w:rsidRPr="004D2D8F">
              <w:rPr>
                <w:rFonts w:ascii="Verdana" w:hAnsi="Verdana" w:cs="Times New Roman"/>
                <w:i/>
                <w:iCs/>
                <w:color w:val="000000"/>
              </w:rPr>
              <w:t>See Can I Block Just Bad Robots?</w:t>
            </w:r>
            <w:r w:rsidRPr="004D2D8F">
              <w:rPr>
                <w:rFonts w:ascii="Verdana" w:hAnsi="Verdana" w:cs="Times New Roman"/>
                <w:color w:val="000000"/>
              </w:rPr>
              <w:t xml:space="preserve">, http://www.robotstxt.org/faq/blockjustbad.html (last visited July 12, 2019); </w:t>
            </w:r>
            <w:r w:rsidRPr="004D2D8F">
              <w:rPr>
                <w:rFonts w:ascii="Verdana" w:hAnsi="Verdana" w:cs="Times New Roman"/>
                <w:i/>
                <w:iCs/>
                <w:color w:val="000000"/>
              </w:rPr>
              <w:t xml:space="preserve">cf. </w:t>
            </w:r>
            <w:r w:rsidR="004D2D8F" w:rsidRPr="004D2D8F">
              <w:rPr>
                <w:rFonts w:ascii="Verdana" w:hAnsi="Verdana" w:cs="Times New Roman"/>
                <w:noProof/>
                <w:color w:val="000000"/>
              </w:rPr>
              <w:drawing>
                <wp:inline distT="0" distB="0" distL="0" distR="0" wp14:anchorId="0200DA77" wp14:editId="6FF62B5D">
                  <wp:extent cx="160020" cy="160020"/>
                  <wp:effectExtent l="0" t="0" r="0" b="0"/>
                  <wp:docPr id="101" name="Picture 10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62" w:anchor="co_pp_sp_4637_563" w:history="1">
              <w:r w:rsidRPr="004D2D8F">
                <w:rPr>
                  <w:rFonts w:ascii="Verdana" w:hAnsi="Verdana" w:cs="Times New Roman"/>
                  <w:i/>
                  <w:iCs/>
                  <w:color w:val="0000FF"/>
                </w:rPr>
                <w:t>Assoc. Press</w:t>
              </w:r>
              <w:r w:rsidRPr="004D2D8F">
                <w:rPr>
                  <w:rFonts w:ascii="Verdana" w:hAnsi="Verdana" w:cs="Times New Roman"/>
                  <w:color w:val="0000FF"/>
                </w:rPr>
                <w:t>, 931 F. Supp. 2d at 563 (S.D.N.Y. 2013)</w:t>
              </w:r>
            </w:hyperlink>
            <w:r w:rsidRPr="004D2D8F">
              <w:rPr>
                <w:rFonts w:ascii="Verdana" w:hAnsi="Verdana" w:cs="Times New Roman"/>
                <w:color w:val="000000"/>
              </w:rPr>
              <w:t>.</w:t>
            </w:r>
          </w:p>
          <w:p w14:paraId="32BC381D"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66" w:name="co_footnote_B00052049136286_1"/>
      <w:bookmarkEnd w:id="66"/>
      <w:tr w:rsidR="00586E12" w:rsidRPr="004D2D8F" w14:paraId="14133450" w14:textId="77777777">
        <w:tc>
          <w:tcPr>
            <w:tcW w:w="600" w:type="dxa"/>
            <w:tcBorders>
              <w:top w:val="nil"/>
              <w:left w:val="nil"/>
              <w:bottom w:val="nil"/>
              <w:right w:val="nil"/>
            </w:tcBorders>
          </w:tcPr>
          <w:p w14:paraId="1178EFF4"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lastRenderedPageBreak/>
              <w:fldChar w:fldCharType="begin"/>
            </w:r>
            <w:r w:rsidRPr="004D2D8F">
              <w:rPr>
                <w:rFonts w:ascii="Verdana" w:hAnsi="Verdana" w:cs="Times New Roman"/>
                <w:color w:val="000000"/>
              </w:rPr>
              <w:instrText xml:space="preserve">HYPERLINK "#co_fnRef_B00052049136286_ID0EHUBG_1"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3</w:t>
            </w:r>
            <w:r w:rsidRPr="004D2D8F">
              <w:rPr>
                <w:rFonts w:ascii="Verdana" w:hAnsi="Verdana" w:cs="Times New Roman"/>
                <w:color w:val="000000"/>
              </w:rPr>
              <w:fldChar w:fldCharType="end"/>
            </w:r>
          </w:p>
          <w:p w14:paraId="679A2ABF"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2066C9B0"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Scraping involves extracting data from a website and copying it into a structured format, allowing for data manipulation or analysis. </w:t>
            </w:r>
            <w:r w:rsidRPr="004D2D8F">
              <w:rPr>
                <w:rFonts w:ascii="Verdana" w:hAnsi="Verdana" w:cs="Times New Roman"/>
                <w:i/>
                <w:iCs/>
                <w:color w:val="000000"/>
              </w:rPr>
              <w:t>See, e.g.</w:t>
            </w:r>
            <w:r w:rsidRPr="004D2D8F">
              <w:rPr>
                <w:rFonts w:ascii="Verdana" w:hAnsi="Verdana" w:cs="Times New Roman"/>
                <w:color w:val="000000"/>
              </w:rPr>
              <w:t xml:space="preserve">, </w:t>
            </w:r>
            <w:r w:rsidRPr="004D2D8F">
              <w:rPr>
                <w:rFonts w:ascii="Verdana" w:hAnsi="Verdana" w:cs="Times New Roman"/>
                <w:i/>
                <w:iCs/>
                <w:color w:val="000000"/>
              </w:rPr>
              <w:t xml:space="preserve">What Is a Screen </w:t>
            </w:r>
            <w:proofErr w:type="gramStart"/>
            <w:r w:rsidRPr="004D2D8F">
              <w:rPr>
                <w:rFonts w:ascii="Verdana" w:hAnsi="Verdana" w:cs="Times New Roman"/>
                <w:i/>
                <w:iCs/>
                <w:color w:val="000000"/>
              </w:rPr>
              <w:t>Scraper?</w:t>
            </w:r>
            <w:r w:rsidRPr="004D2D8F">
              <w:rPr>
                <w:rFonts w:ascii="Verdana" w:hAnsi="Verdana" w:cs="Times New Roman"/>
                <w:color w:val="000000"/>
              </w:rPr>
              <w:t>,</w:t>
            </w:r>
            <w:proofErr w:type="gramEnd"/>
            <w:r w:rsidRPr="004D2D8F">
              <w:rPr>
                <w:rFonts w:ascii="Verdana" w:hAnsi="Verdana" w:cs="Times New Roman"/>
                <w:color w:val="000000"/>
              </w:rPr>
              <w:t xml:space="preserve"> </w:t>
            </w:r>
            <w:proofErr w:type="spellStart"/>
            <w:r w:rsidRPr="004D2D8F">
              <w:rPr>
                <w:rFonts w:ascii="Verdana" w:hAnsi="Verdana" w:cs="Times New Roman"/>
                <w:color w:val="000000"/>
              </w:rPr>
              <w:t>WiseGeek</w:t>
            </w:r>
            <w:proofErr w:type="spellEnd"/>
            <w:r w:rsidRPr="004D2D8F">
              <w:rPr>
                <w:rFonts w:ascii="Verdana" w:hAnsi="Verdana" w:cs="Times New Roman"/>
                <w:color w:val="000000"/>
              </w:rPr>
              <w:t xml:space="preserve">, http://www.wisegeek.com/what-is-a-screen-scraper.htm (last visited July 12, 2019). Scraping can be done manually, but as in this case, it is typically done by a web robot or “bot.” </w:t>
            </w:r>
            <w:r w:rsidRPr="004D2D8F">
              <w:rPr>
                <w:rFonts w:ascii="Verdana" w:hAnsi="Verdana" w:cs="Times New Roman"/>
                <w:i/>
                <w:iCs/>
                <w:color w:val="000000"/>
              </w:rPr>
              <w:t>See supra</w:t>
            </w:r>
            <w:r w:rsidRPr="004D2D8F">
              <w:rPr>
                <w:rFonts w:ascii="Verdana" w:hAnsi="Verdana" w:cs="Times New Roman"/>
                <w:color w:val="000000"/>
              </w:rPr>
              <w:t xml:space="preserve"> note 2.</w:t>
            </w:r>
          </w:p>
          <w:p w14:paraId="225438C9"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67" w:name="co_footnote_B00062049136286_1"/>
      <w:bookmarkEnd w:id="67"/>
      <w:tr w:rsidR="00586E12" w:rsidRPr="004D2D8F" w14:paraId="33F5CD53" w14:textId="77777777">
        <w:tc>
          <w:tcPr>
            <w:tcW w:w="600" w:type="dxa"/>
            <w:tcBorders>
              <w:top w:val="nil"/>
              <w:left w:val="nil"/>
              <w:bottom w:val="nil"/>
              <w:right w:val="nil"/>
            </w:tcBorders>
          </w:tcPr>
          <w:p w14:paraId="3FCAAADE"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"#co_fnRef_B00062049136286_ID0ERUBG_1"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4</w:t>
            </w:r>
            <w:r w:rsidRPr="004D2D8F">
              <w:rPr>
                <w:rFonts w:ascii="Verdana" w:hAnsi="Verdana" w:cs="Times New Roman"/>
                <w:color w:val="000000"/>
              </w:rPr>
              <w:fldChar w:fldCharType="end"/>
            </w:r>
          </w:p>
          <w:p w14:paraId="5D09DD44"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5E7A52A4"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“IP address” is an abbreviation for Internet protocol address, which is a numerical identifier for each computer or network connected to the Internet. </w:t>
            </w:r>
            <w:r w:rsidRPr="004D2D8F">
              <w:rPr>
                <w:rFonts w:ascii="Verdana" w:hAnsi="Verdana" w:cs="Times New Roman"/>
                <w:i/>
                <w:iCs/>
                <w:color w:val="000000"/>
              </w:rPr>
              <w:t>See Definition of “IP Address,”</w:t>
            </w:r>
            <w:r w:rsidRPr="004D2D8F">
              <w:rPr>
                <w:rFonts w:ascii="Verdana" w:hAnsi="Verdana" w:cs="Times New Roman"/>
                <w:color w:val="000000"/>
              </w:rPr>
              <w:t xml:space="preserve"> Merriam-Webster Dictionary, https://www.merriam-webster.com/dictionary/IP% 20address (last visited July 12, 2019).</w:t>
            </w:r>
          </w:p>
          <w:p w14:paraId="15C14EB9"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68" w:name="co_footnote_B00072049136286_1"/>
      <w:bookmarkEnd w:id="68"/>
      <w:tr w:rsidR="00586E12" w:rsidRPr="004D2D8F" w14:paraId="4BCB3B9F" w14:textId="77777777">
        <w:tc>
          <w:tcPr>
            <w:tcW w:w="600" w:type="dxa"/>
            <w:tcBorders>
              <w:top w:val="nil"/>
              <w:left w:val="nil"/>
              <w:bottom w:val="nil"/>
              <w:right w:val="nil"/>
            </w:tcBorders>
          </w:tcPr>
          <w:p w14:paraId="77D2B2E1"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"#co_fnRef_B00072049136286_ID0E2UBG_1"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5</w:t>
            </w:r>
            <w:r w:rsidRPr="004D2D8F">
              <w:rPr>
                <w:rFonts w:ascii="Verdana" w:hAnsi="Verdana" w:cs="Times New Roman"/>
                <w:color w:val="000000"/>
              </w:rPr>
              <w:fldChar w:fldCharType="end"/>
            </w:r>
          </w:p>
          <w:p w14:paraId="692557C0"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58A43DE2"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Section 8.2 of the LinkedIn User Agreement to which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agreed states that users agree not to “[s]crape or copy profiles and information of others through any means (including crawlers, browser plugins and add-ons, and any other technology or manual work),” “[c]</w:t>
            </w:r>
            <w:proofErr w:type="spellStart"/>
            <w:r w:rsidRPr="004D2D8F">
              <w:rPr>
                <w:rFonts w:ascii="Verdana" w:hAnsi="Verdana" w:cs="Times New Roman"/>
                <w:color w:val="000000"/>
              </w:rPr>
              <w:t>opy</w:t>
            </w:r>
            <w:proofErr w:type="spellEnd"/>
            <w:r w:rsidRPr="004D2D8F">
              <w:rPr>
                <w:rFonts w:ascii="Verdana" w:hAnsi="Verdana" w:cs="Times New Roman"/>
                <w:color w:val="000000"/>
              </w:rPr>
              <w:t xml:space="preserve"> or use the information, content or data on LinkedIn in connection with a competitive service (as determined by LinkedIn),” “[u]se manual or automated software, devices, scripts robots, other means or processes to access, ‘scrape,’ ‘crawl’ or ‘spider’ the Services or any related data or information,” or “[u]se bots or other automated methods to access the Services.”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is no longer bound by the User Agreement, as LinkedIn has terminated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user status.</w:t>
            </w:r>
          </w:p>
          <w:p w14:paraId="2FE6FED7"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69" w:name="co_footnote_B00082049136286_1"/>
      <w:bookmarkEnd w:id="69"/>
      <w:tr w:rsidR="00586E12" w:rsidRPr="004D2D8F" w14:paraId="2EB50D27" w14:textId="77777777">
        <w:tc>
          <w:tcPr>
            <w:tcW w:w="600" w:type="dxa"/>
            <w:tcBorders>
              <w:top w:val="nil"/>
              <w:left w:val="nil"/>
              <w:bottom w:val="nil"/>
              <w:right w:val="nil"/>
            </w:tcBorders>
          </w:tcPr>
          <w:p w14:paraId="4EBB2178"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"#co_fnRef_B00082049136286_ID0EE5BG_1"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6</w:t>
            </w:r>
            <w:r w:rsidRPr="004D2D8F">
              <w:rPr>
                <w:rFonts w:ascii="Verdana" w:hAnsi="Verdana" w:cs="Times New Roman"/>
                <w:color w:val="000000"/>
              </w:rPr>
              <w:fldChar w:fldCharType="end"/>
            </w:r>
          </w:p>
          <w:p w14:paraId="7BFFE935"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23A296AF"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The record does not specifically name Talent Insights, but at a district court hearing on June 29, 2017, counsel for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referenced Mr. Weiner’s statements on CBS and stated that “in the past 24 hours we’ve received word ... that LinkedIn is launching a product that is essentially the same or very similar to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Skill Mapper, and trying to market it head-to-head against us.” LinkedIn has since launched Talent Insights, which, among other things, promises to help employers “understand the ... skills that are growing fastest at your company.” </w:t>
            </w:r>
            <w:r w:rsidRPr="004D2D8F">
              <w:rPr>
                <w:rFonts w:ascii="Verdana" w:hAnsi="Verdana" w:cs="Times New Roman"/>
                <w:i/>
                <w:iCs/>
                <w:color w:val="000000"/>
              </w:rPr>
              <w:t>See</w:t>
            </w:r>
            <w:r w:rsidRPr="004D2D8F">
              <w:rPr>
                <w:rFonts w:ascii="Verdana" w:hAnsi="Verdana" w:cs="Times New Roman"/>
                <w:color w:val="000000"/>
              </w:rPr>
              <w:t xml:space="preserve"> https://business.linkedin.com/talent-solutions/blog/product-updates/2018/linkedin-talent-insights-now-available (last visited July 12, 2019).</w:t>
            </w:r>
          </w:p>
          <w:p w14:paraId="2F7B77F0"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0" w:name="co_footnote_B00092049136286_1"/>
      <w:bookmarkEnd w:id="70"/>
      <w:tr w:rsidR="00586E12" w:rsidRPr="004D2D8F" w14:paraId="418D2715" w14:textId="77777777">
        <w:tc>
          <w:tcPr>
            <w:tcW w:w="600" w:type="dxa"/>
            <w:tcBorders>
              <w:top w:val="nil"/>
              <w:left w:val="nil"/>
              <w:bottom w:val="nil"/>
              <w:right w:val="nil"/>
            </w:tcBorders>
          </w:tcPr>
          <w:p w14:paraId="72C65846"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"#co_fnRef_B00092049136286_ID0EHXAI_1"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7</w:t>
            </w:r>
            <w:r w:rsidRPr="004D2D8F">
              <w:rPr>
                <w:rFonts w:ascii="Verdana" w:hAnsi="Verdana" w:cs="Times New Roman"/>
                <w:color w:val="000000"/>
              </w:rPr>
              <w:fldChar w:fldCharType="end"/>
            </w:r>
          </w:p>
          <w:p w14:paraId="3E355DBB"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2059A2C8"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Recruiter does not provide alerts about profile changes made by LinkedIn members who select the “Do Not Broadcast” setting.</w:t>
            </w:r>
          </w:p>
          <w:p w14:paraId="29C68FF3"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1" w:name="co_footnote_B00102049136286_1"/>
      <w:bookmarkEnd w:id="71"/>
      <w:tr w:rsidR="00586E12" w:rsidRPr="004D2D8F" w14:paraId="507A15CD" w14:textId="77777777">
        <w:tc>
          <w:tcPr>
            <w:tcW w:w="600" w:type="dxa"/>
            <w:tcBorders>
              <w:top w:val="nil"/>
              <w:left w:val="nil"/>
              <w:bottom w:val="nil"/>
              <w:right w:val="nil"/>
            </w:tcBorders>
          </w:tcPr>
          <w:p w14:paraId="5F21273F"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"#co_fnRef_B00102049136286_ID0EZ6AI_1"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8</w:t>
            </w:r>
            <w:r w:rsidRPr="004D2D8F">
              <w:rPr>
                <w:rFonts w:ascii="Verdana" w:hAnsi="Verdana" w:cs="Times New Roman"/>
                <w:color w:val="000000"/>
              </w:rPr>
              <w:fldChar w:fldCharType="end"/>
            </w:r>
          </w:p>
          <w:p w14:paraId="15EB74D4"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04EDB3CC" w14:textId="12343AC4"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Under California law, tortious interference with contract claims </w:t>
            </w:r>
            <w:proofErr w:type="gramStart"/>
            <w:r w:rsidRPr="004D2D8F">
              <w:rPr>
                <w:rFonts w:ascii="Verdana" w:hAnsi="Verdana" w:cs="Times New Roman"/>
                <w:color w:val="000000"/>
              </w:rPr>
              <w:t>are</w:t>
            </w:r>
            <w:proofErr w:type="gramEnd"/>
            <w:r w:rsidRPr="004D2D8F">
              <w:rPr>
                <w:rFonts w:ascii="Verdana" w:hAnsi="Verdana" w:cs="Times New Roman"/>
                <w:color w:val="000000"/>
              </w:rPr>
              <w:t xml:space="preserve"> not limited to circumstances in which the defendant has caused the third party with whom the plaintiff has contracted to breach the agreement. “The most general application of the rule is to cases where the party with whom the plaintiff has entered into an agreement has been induced to breach it, but the rule is also applicable where the plaintiff’s performance has been prevented or rendered more expensive or burdensome and where he has been induced to breach the contract by conduct of the defendant, such </w:t>
            </w:r>
            <w:r w:rsidRPr="004D2D8F">
              <w:rPr>
                <w:rFonts w:ascii="Verdana" w:hAnsi="Verdana" w:cs="Times New Roman"/>
                <w:color w:val="000000"/>
              </w:rPr>
              <w:lastRenderedPageBreak/>
              <w:t xml:space="preserve">as threats of economic reprisals.” </w:t>
            </w:r>
            <w:r w:rsidR="004D2D8F" w:rsidRPr="004D2D8F">
              <w:rPr>
                <w:rFonts w:ascii="Verdana" w:hAnsi="Verdana" w:cs="Times New Roman"/>
                <w:noProof/>
                <w:color w:val="000000"/>
              </w:rPr>
              <w:drawing>
                <wp:inline distT="0" distB="0" distL="0" distR="0" wp14:anchorId="75C9A5B9" wp14:editId="1E934113">
                  <wp:extent cx="160020" cy="160020"/>
                  <wp:effectExtent l="0" t="0" r="0" b="0"/>
                  <wp:docPr id="102" name="Picture 10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65" w:anchor="co_pp_sp_231_232" w:history="1">
              <w:r w:rsidRPr="004D2D8F">
                <w:rPr>
                  <w:rFonts w:ascii="Verdana" w:hAnsi="Verdana" w:cs="Times New Roman"/>
                  <w:i/>
                  <w:iCs/>
                  <w:color w:val="0000FF"/>
                </w:rPr>
                <w:t>Lipman v. Brisbane Elementary Sch. Dist.</w:t>
              </w:r>
              <w:r w:rsidRPr="004D2D8F">
                <w:rPr>
                  <w:rFonts w:ascii="Verdana" w:hAnsi="Verdana" w:cs="Times New Roman"/>
                  <w:color w:val="0000FF"/>
                </w:rPr>
                <w:t xml:space="preserve">, 55 Cal. 2d 224, 232, 11 </w:t>
              </w:r>
              <w:proofErr w:type="spellStart"/>
              <w:r w:rsidRPr="004D2D8F">
                <w:rPr>
                  <w:rFonts w:ascii="Verdana" w:hAnsi="Verdana" w:cs="Times New Roman"/>
                  <w:color w:val="0000FF"/>
                </w:rPr>
                <w:t>Cal.Rptr</w:t>
              </w:r>
              <w:proofErr w:type="spellEnd"/>
              <w:r w:rsidRPr="004D2D8F">
                <w:rPr>
                  <w:rFonts w:ascii="Verdana" w:hAnsi="Verdana" w:cs="Times New Roman"/>
                  <w:color w:val="0000FF"/>
                </w:rPr>
                <w:t>. 97, 359 P.2d 465 (1961)</w:t>
              </w:r>
            </w:hyperlink>
            <w:r w:rsidRPr="004D2D8F">
              <w:rPr>
                <w:rFonts w:ascii="Verdana" w:hAnsi="Verdana" w:cs="Times New Roman"/>
                <w:color w:val="000000"/>
              </w:rPr>
              <w:t xml:space="preserve">, </w:t>
            </w:r>
            <w:r w:rsidRPr="004D2D8F">
              <w:rPr>
                <w:rFonts w:ascii="Verdana" w:hAnsi="Verdana" w:cs="Times New Roman"/>
                <w:i/>
                <w:iCs/>
                <w:color w:val="000000"/>
              </w:rPr>
              <w:t xml:space="preserve">abrogated on other grounds by </w:t>
            </w:r>
            <w:r w:rsidR="004D2D8F" w:rsidRPr="004D2D8F">
              <w:rPr>
                <w:rFonts w:ascii="Verdana" w:hAnsi="Verdana" w:cs="Times New Roman"/>
                <w:noProof/>
                <w:color w:val="000000"/>
              </w:rPr>
              <w:drawing>
                <wp:inline distT="0" distB="0" distL="0" distR="0" wp14:anchorId="53E7A7A3" wp14:editId="239E2768">
                  <wp:extent cx="160020" cy="160020"/>
                  <wp:effectExtent l="0" t="0" r="0" b="0"/>
                  <wp:docPr id="103" name="Picture 103">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67" w:anchor="co_pp_sp_233_753" w:history="1">
              <w:r w:rsidRPr="004D2D8F">
                <w:rPr>
                  <w:rFonts w:ascii="Verdana" w:hAnsi="Verdana" w:cs="Times New Roman"/>
                  <w:i/>
                  <w:iCs/>
                  <w:color w:val="0000FF"/>
                </w:rPr>
                <w:t>Brown v. Kelly Broadcasting Co.</w:t>
              </w:r>
              <w:r w:rsidRPr="004D2D8F">
                <w:rPr>
                  <w:rFonts w:ascii="Verdana" w:hAnsi="Verdana" w:cs="Times New Roman"/>
                  <w:color w:val="0000FF"/>
                </w:rPr>
                <w:t xml:space="preserve">, 48 Cal. 3d 711, 753 n.37, 257 </w:t>
              </w:r>
              <w:proofErr w:type="spellStart"/>
              <w:r w:rsidRPr="004D2D8F">
                <w:rPr>
                  <w:rFonts w:ascii="Verdana" w:hAnsi="Verdana" w:cs="Times New Roman"/>
                  <w:color w:val="0000FF"/>
                </w:rPr>
                <w:t>Cal.Rptr</w:t>
              </w:r>
              <w:proofErr w:type="spellEnd"/>
              <w:r w:rsidRPr="004D2D8F">
                <w:rPr>
                  <w:rFonts w:ascii="Verdana" w:hAnsi="Verdana" w:cs="Times New Roman"/>
                  <w:color w:val="0000FF"/>
                </w:rPr>
                <w:t>. 708, 771 P.2d 406 (1989)</w:t>
              </w:r>
            </w:hyperlink>
            <w:r w:rsidRPr="004D2D8F">
              <w:rPr>
                <w:rFonts w:ascii="Verdana" w:hAnsi="Verdana" w:cs="Times New Roman"/>
                <w:color w:val="000000"/>
              </w:rPr>
              <w:t xml:space="preserve">; </w:t>
            </w:r>
            <w:r w:rsidRPr="004D2D8F">
              <w:rPr>
                <w:rFonts w:ascii="Verdana" w:hAnsi="Verdana" w:cs="Times New Roman"/>
                <w:i/>
                <w:iCs/>
                <w:color w:val="000000"/>
              </w:rPr>
              <w:t xml:space="preserve">see also </w:t>
            </w:r>
            <w:r w:rsidR="004D2D8F" w:rsidRPr="004D2D8F">
              <w:rPr>
                <w:rFonts w:ascii="Verdana" w:hAnsi="Verdana" w:cs="Times New Roman"/>
                <w:noProof/>
                <w:color w:val="000000"/>
              </w:rPr>
              <w:drawing>
                <wp:inline distT="0" distB="0" distL="0" distR="0" wp14:anchorId="79170BAD" wp14:editId="4CB31F23">
                  <wp:extent cx="160020" cy="160020"/>
                  <wp:effectExtent l="0" t="0" r="0" b="0"/>
                  <wp:docPr id="104" name="Picture 10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68" w:anchor="co_pp_sp_233_1129" w:history="1">
              <w:r w:rsidRPr="004D2D8F">
                <w:rPr>
                  <w:rFonts w:ascii="Verdana" w:hAnsi="Verdana" w:cs="Times New Roman"/>
                  <w:i/>
                  <w:iCs/>
                  <w:color w:val="0000FF"/>
                </w:rPr>
                <w:t>Pac. Gas &amp; Elec. Co.</w:t>
              </w:r>
              <w:r w:rsidRPr="004D2D8F">
                <w:rPr>
                  <w:rFonts w:ascii="Verdana" w:hAnsi="Verdana" w:cs="Times New Roman"/>
                  <w:color w:val="0000FF"/>
                </w:rPr>
                <w:t xml:space="preserve">, 50 Cal. 3d at 1129, 270 </w:t>
              </w:r>
              <w:proofErr w:type="spellStart"/>
              <w:r w:rsidRPr="004D2D8F">
                <w:rPr>
                  <w:rFonts w:ascii="Verdana" w:hAnsi="Verdana" w:cs="Times New Roman"/>
                  <w:color w:val="0000FF"/>
                </w:rPr>
                <w:t>Cal.Rptr</w:t>
              </w:r>
              <w:proofErr w:type="spellEnd"/>
              <w:r w:rsidRPr="004D2D8F">
                <w:rPr>
                  <w:rFonts w:ascii="Verdana" w:hAnsi="Verdana" w:cs="Times New Roman"/>
                  <w:color w:val="0000FF"/>
                </w:rPr>
                <w:t>. 1, 791 P.2d 587</w:t>
              </w:r>
            </w:hyperlink>
            <w:r w:rsidRPr="004D2D8F">
              <w:rPr>
                <w:rFonts w:ascii="Verdana" w:hAnsi="Verdana" w:cs="Times New Roman"/>
                <w:color w:val="000000"/>
              </w:rPr>
              <w:t xml:space="preserve"> (“We have recognized that interference with the plaintiff’s performance may give rise to a claim for interference with contractual relations if plaintiff’s performance is made more costly or more burdensome.”).</w:t>
            </w:r>
          </w:p>
          <w:p w14:paraId="2E17573A"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2" w:name="co_footnote_B00112049136286_1"/>
      <w:bookmarkEnd w:id="72"/>
      <w:tr w:rsidR="00586E12" w:rsidRPr="004D2D8F" w14:paraId="0E53AC7B" w14:textId="77777777">
        <w:tc>
          <w:tcPr>
            <w:tcW w:w="600" w:type="dxa"/>
            <w:tcBorders>
              <w:top w:val="nil"/>
              <w:left w:val="nil"/>
              <w:bottom w:val="nil"/>
              <w:right w:val="nil"/>
            </w:tcBorders>
          </w:tcPr>
          <w:p w14:paraId="76A3291E"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lastRenderedPageBreak/>
              <w:fldChar w:fldCharType="begin"/>
            </w:r>
            <w:r w:rsidRPr="004D2D8F">
              <w:rPr>
                <w:rFonts w:ascii="Verdana" w:hAnsi="Verdana" w:cs="Times New Roman"/>
                <w:color w:val="000000"/>
              </w:rPr>
              <w:instrText xml:space="preserve">HYPERLINK "#co_fnRef_B00112049136286_ID0EC3BI_1"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9</w:t>
            </w:r>
            <w:r w:rsidRPr="004D2D8F">
              <w:rPr>
                <w:rFonts w:ascii="Verdana" w:hAnsi="Verdana" w:cs="Times New Roman"/>
                <w:color w:val="000000"/>
              </w:rPr>
              <w:fldChar w:fldCharType="end"/>
            </w:r>
          </w:p>
          <w:p w14:paraId="6C6D6752"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3C21A5B5"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The district court determined that LinkedIn’s legitimate business purpose defense overlapped with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claim under California’s Unfair Competition Law (“UCL”), which the district court found raised serious questions on the merits: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presented some evidence supporting its assertion that LinkedIn’s decision to revoke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access to its data was made for the purpose of eliminating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as a competitor in the data analytics field, and thus potentially ‘violates [the UCL].</w:t>
            </w:r>
            <w:proofErr w:type="gramStart"/>
            <w:r w:rsidRPr="004D2D8F">
              <w:rPr>
                <w:rFonts w:ascii="Verdana" w:hAnsi="Verdana" w:cs="Times New Roman"/>
                <w:color w:val="000000"/>
              </w:rPr>
              <w:t>’ ”</w:t>
            </w:r>
            <w:proofErr w:type="gramEnd"/>
          </w:p>
          <w:p w14:paraId="71DEE066"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3" w:name="co_footnote_B00122049136286_1"/>
      <w:bookmarkEnd w:id="73"/>
      <w:tr w:rsidR="00586E12" w:rsidRPr="004D2D8F" w14:paraId="1469EAC5" w14:textId="77777777">
        <w:tc>
          <w:tcPr>
            <w:tcW w:w="600" w:type="dxa"/>
            <w:tcBorders>
              <w:top w:val="nil"/>
              <w:left w:val="nil"/>
              <w:bottom w:val="nil"/>
              <w:right w:val="nil"/>
            </w:tcBorders>
          </w:tcPr>
          <w:p w14:paraId="3B0CB53D"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"#co_fnRef_B00122049136286_ID0EN6BI_1"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10</w:t>
            </w:r>
            <w:r w:rsidRPr="004D2D8F">
              <w:rPr>
                <w:rFonts w:ascii="Verdana" w:hAnsi="Verdana" w:cs="Times New Roman"/>
                <w:color w:val="000000"/>
              </w:rPr>
              <w:fldChar w:fldCharType="end"/>
            </w:r>
          </w:p>
          <w:p w14:paraId="7191B4BB"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7DCF6663" w14:textId="2FBA5ECF"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LinkedIn also advances a business interest in “asserting its rights under federal and state law.” That interest depends upon the scope of LinkedIn’s rights under the CFAA and California’s CFAA analogue, </w:t>
            </w:r>
            <w:hyperlink r:id="rId69" w:history="1">
              <w:r w:rsidRPr="004D2D8F">
                <w:rPr>
                  <w:rFonts w:ascii="Verdana" w:hAnsi="Verdana" w:cs="Times New Roman"/>
                  <w:color w:val="0000FF"/>
                </w:rPr>
                <w:t>California Penal Code § 502</w:t>
              </w:r>
            </w:hyperlink>
            <w:r w:rsidRPr="004D2D8F">
              <w:rPr>
                <w:rFonts w:ascii="Verdana" w:hAnsi="Verdana" w:cs="Times New Roman"/>
                <w:color w:val="000000"/>
              </w:rPr>
              <w:t xml:space="preserve">. Similarly, LinkedIn argues that there can be no tortious interference because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contracts are premised on unauthorized access to LinkedIn data and are therefore illegal. Under California law, “[</w:t>
            </w:r>
            <w:proofErr w:type="spellStart"/>
            <w:r w:rsidRPr="004D2D8F">
              <w:rPr>
                <w:rFonts w:ascii="Verdana" w:hAnsi="Verdana" w:cs="Times New Roman"/>
                <w:color w:val="000000"/>
              </w:rPr>
              <w:t>i</w:t>
            </w:r>
            <w:proofErr w:type="spellEnd"/>
            <w:r w:rsidRPr="004D2D8F">
              <w:rPr>
                <w:rFonts w:ascii="Verdana" w:hAnsi="Verdana" w:cs="Times New Roman"/>
                <w:color w:val="000000"/>
              </w:rPr>
              <w:t xml:space="preserve">]f the central purpose of the contract is tainted with illegality, then the contract as a whole cannot be enforced.” </w:t>
            </w:r>
            <w:r w:rsidR="004D2D8F" w:rsidRPr="004D2D8F">
              <w:rPr>
                <w:rFonts w:ascii="Verdana" w:hAnsi="Verdana" w:cs="Times New Roman"/>
                <w:noProof/>
                <w:color w:val="000000"/>
              </w:rPr>
              <w:drawing>
                <wp:inline distT="0" distB="0" distL="0" distR="0" wp14:anchorId="0427E888" wp14:editId="5608EEB4">
                  <wp:extent cx="160020" cy="160020"/>
                  <wp:effectExtent l="0" t="0" r="0" b="0"/>
                  <wp:docPr id="105" name="Picture 105">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71" w:anchor="co_pp_sp_4040_996" w:history="1">
              <w:r w:rsidRPr="004D2D8F">
                <w:rPr>
                  <w:rFonts w:ascii="Verdana" w:hAnsi="Verdana" w:cs="Times New Roman"/>
                  <w:i/>
                  <w:iCs/>
                  <w:color w:val="0000FF"/>
                </w:rPr>
                <w:t>Marathon Entm’t, Inc. v. Blasi</w:t>
              </w:r>
              <w:r w:rsidRPr="004D2D8F">
                <w:rPr>
                  <w:rFonts w:ascii="Verdana" w:hAnsi="Verdana" w:cs="Times New Roman"/>
                  <w:color w:val="0000FF"/>
                </w:rPr>
                <w:t>, 42 Cal. 4th 974, 996, 70 Cal.Rptr.3d 727, 174 P.3d 741 (2008)</w:t>
              </w:r>
            </w:hyperlink>
            <w:r w:rsidRPr="004D2D8F">
              <w:rPr>
                <w:rFonts w:ascii="Verdana" w:hAnsi="Verdana" w:cs="Times New Roman"/>
                <w:color w:val="000000"/>
              </w:rPr>
              <w:t xml:space="preserve">, </w:t>
            </w:r>
            <w:r w:rsidRPr="004D2D8F">
              <w:rPr>
                <w:rFonts w:ascii="Verdana" w:hAnsi="Verdana" w:cs="Times New Roman"/>
                <w:i/>
                <w:iCs/>
                <w:color w:val="000000"/>
              </w:rPr>
              <w:t>as modified</w:t>
            </w:r>
            <w:r w:rsidRPr="004D2D8F">
              <w:rPr>
                <w:rFonts w:ascii="Verdana" w:hAnsi="Verdana" w:cs="Times New Roman"/>
                <w:color w:val="000000"/>
              </w:rPr>
              <w:t xml:space="preserve"> (Mar. 12, 2008); </w:t>
            </w:r>
            <w:r w:rsidRPr="004D2D8F">
              <w:rPr>
                <w:rFonts w:ascii="Verdana" w:hAnsi="Verdana" w:cs="Times New Roman"/>
                <w:i/>
                <w:iCs/>
                <w:color w:val="000000"/>
              </w:rPr>
              <w:t>see also</w:t>
            </w:r>
            <w:r w:rsidRPr="004D2D8F">
              <w:rPr>
                <w:rFonts w:ascii="Verdana" w:hAnsi="Verdana" w:cs="Times New Roman"/>
                <w:color w:val="000000"/>
              </w:rPr>
              <w:t xml:space="preserve"> </w:t>
            </w:r>
            <w:hyperlink r:id="rId72" w:history="1">
              <w:r w:rsidRPr="004D2D8F">
                <w:rPr>
                  <w:rFonts w:ascii="Verdana" w:hAnsi="Verdana" w:cs="Times New Roman"/>
                  <w:color w:val="0000FF"/>
                </w:rPr>
                <w:t>Cal. Civ. Code § 1598</w:t>
              </w:r>
            </w:hyperlink>
            <w:r w:rsidRPr="004D2D8F">
              <w:rPr>
                <w:rFonts w:ascii="Verdana" w:hAnsi="Verdana" w:cs="Times New Roman"/>
                <w:color w:val="000000"/>
              </w:rPr>
              <w:t xml:space="preserve"> (“Where a contract has but a single object, and such object is unlawful, whether in whole or in part, or wholly impossible of performance ... the entire contract is void.”). As we explain next, however, </w:t>
            </w:r>
            <w:proofErr w:type="spellStart"/>
            <w:r w:rsidRPr="004D2D8F">
              <w:rPr>
                <w:rFonts w:ascii="Verdana" w:hAnsi="Verdana" w:cs="Times New Roman"/>
                <w:color w:val="000000"/>
              </w:rPr>
              <w:t>hiQ</w:t>
            </w:r>
            <w:proofErr w:type="spellEnd"/>
            <w:r w:rsidRPr="004D2D8F">
              <w:rPr>
                <w:rFonts w:ascii="Verdana" w:hAnsi="Verdana" w:cs="Times New Roman"/>
                <w:color w:val="000000"/>
              </w:rPr>
              <w:t xml:space="preserve"> has raised at least serious questions in support of its position that its activities are lawful under the CFAA.</w:t>
            </w:r>
          </w:p>
          <w:p w14:paraId="1897D8EE"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4" w:name="co_footnote_B00132049136286_1"/>
      <w:bookmarkEnd w:id="74"/>
      <w:tr w:rsidR="00586E12" w:rsidRPr="004D2D8F" w14:paraId="749FEC2E" w14:textId="77777777">
        <w:tc>
          <w:tcPr>
            <w:tcW w:w="600" w:type="dxa"/>
            <w:tcBorders>
              <w:top w:val="nil"/>
              <w:left w:val="nil"/>
              <w:bottom w:val="nil"/>
              <w:right w:val="nil"/>
            </w:tcBorders>
          </w:tcPr>
          <w:p w14:paraId="3E6045E8"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"#co_fnRef_B00132049136286_ID0EQ1CI_1"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11</w:t>
            </w:r>
            <w:r w:rsidRPr="004D2D8F">
              <w:rPr>
                <w:rFonts w:ascii="Verdana" w:hAnsi="Verdana" w:cs="Times New Roman"/>
                <w:color w:val="000000"/>
              </w:rPr>
              <w:fldChar w:fldCharType="end"/>
            </w:r>
          </w:p>
          <w:p w14:paraId="0E66B3EB"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151101A9"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The CFAA originally prohibited only unauthorized access to government computers.</w:t>
            </w:r>
          </w:p>
          <w:p w14:paraId="48796837"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5" w:name="co_footnote_B00142049136286_1"/>
      <w:bookmarkEnd w:id="75"/>
      <w:tr w:rsidR="00586E12" w:rsidRPr="004D2D8F" w14:paraId="5DADD242" w14:textId="77777777">
        <w:tc>
          <w:tcPr>
            <w:tcW w:w="600" w:type="dxa"/>
            <w:tcBorders>
              <w:top w:val="nil"/>
              <w:left w:val="nil"/>
              <w:bottom w:val="nil"/>
              <w:right w:val="nil"/>
            </w:tcBorders>
          </w:tcPr>
          <w:p w14:paraId="363497A0"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"#co_fnRef_B00142049136286_ID0EAGDI_1"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12</w:t>
            </w:r>
            <w:r w:rsidRPr="004D2D8F">
              <w:rPr>
                <w:rFonts w:ascii="Verdana" w:hAnsi="Verdana" w:cs="Times New Roman"/>
                <w:color w:val="000000"/>
              </w:rPr>
              <w:fldChar w:fldCharType="end"/>
            </w:r>
          </w:p>
          <w:p w14:paraId="1AA992CB"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76713C07" w14:textId="5C25000A" w:rsidR="00586E12" w:rsidRPr="004D2D8F" w:rsidRDefault="004D2D8F">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noProof/>
                <w:color w:val="000000"/>
              </w:rPr>
              <w:drawing>
                <wp:inline distT="0" distB="0" distL="0" distR="0" wp14:anchorId="0A10667A" wp14:editId="2C08795F">
                  <wp:extent cx="160020" cy="160020"/>
                  <wp:effectExtent l="0" t="0" r="0" b="0"/>
                  <wp:docPr id="106" name="Picture 106">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74" w:anchor="co_pp_1496000051ed7" w:history="1">
              <w:r w:rsidR="00DE6F1B" w:rsidRPr="004D2D8F">
                <w:rPr>
                  <w:rFonts w:ascii="Verdana" w:hAnsi="Verdana" w:cs="Times New Roman"/>
                  <w:color w:val="0000FF"/>
                </w:rPr>
                <w:t>18 U.S.C. § 1030(a)(6)</w:t>
              </w:r>
            </w:hyperlink>
            <w:r w:rsidR="00DE6F1B" w:rsidRPr="004D2D8F">
              <w:rPr>
                <w:rFonts w:ascii="Verdana" w:hAnsi="Verdana" w:cs="Times New Roman"/>
                <w:color w:val="000000"/>
              </w:rPr>
              <w:t xml:space="preserve"> provides: “Whoever ... knowingly and with intent to defraud traffics ... in any password or similar information through which a computer may be accessed without authorization, if—(A) such trafficking affects interstate or foreign commerce; or (B) such computer is used by or for the Government of the United States; ... shall be punished as provided in subsection (c) of this section.”</w:t>
            </w:r>
          </w:p>
          <w:p w14:paraId="7118C0EA"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6" w:name="co_footnote_B00152049136286_1"/>
      <w:bookmarkEnd w:id="76"/>
      <w:tr w:rsidR="00586E12" w:rsidRPr="004D2D8F" w14:paraId="21D6CC0F" w14:textId="77777777">
        <w:tc>
          <w:tcPr>
            <w:tcW w:w="600" w:type="dxa"/>
            <w:tcBorders>
              <w:top w:val="nil"/>
              <w:left w:val="nil"/>
              <w:bottom w:val="nil"/>
              <w:right w:val="nil"/>
            </w:tcBorders>
          </w:tcPr>
          <w:p w14:paraId="7068148D"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"#co_fnRef_B00152049136286_ID0EXXDI_1"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13</w:t>
            </w:r>
            <w:r w:rsidRPr="004D2D8F">
              <w:rPr>
                <w:rFonts w:ascii="Verdana" w:hAnsi="Verdana" w:cs="Times New Roman"/>
                <w:color w:val="000000"/>
              </w:rPr>
              <w:fldChar w:fldCharType="end"/>
            </w:r>
          </w:p>
          <w:p w14:paraId="63E9589C"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09F94E63"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The Stored Communications Act, enacted as part of the Electronic Communications Privacy Act of 1986, </w:t>
            </w:r>
            <w:hyperlink r:id="rId75" w:history="1">
              <w:r w:rsidRPr="004D2D8F">
                <w:rPr>
                  <w:rFonts w:ascii="Verdana" w:hAnsi="Verdana" w:cs="Times New Roman"/>
                  <w:color w:val="0000FF"/>
                </w:rPr>
                <w:t>Pub. L. No. 99-508, 100 Stat. 1848,</w:t>
              </w:r>
            </w:hyperlink>
            <w:r w:rsidRPr="004D2D8F">
              <w:rPr>
                <w:rFonts w:ascii="Verdana" w:hAnsi="Verdana" w:cs="Times New Roman"/>
                <w:color w:val="000000"/>
              </w:rPr>
              <w:t xml:space="preserve"> provides privacy protections for e-mail and other electronic communications by limiting the ability of the government to compel disclosure by internet service providers.</w:t>
            </w:r>
          </w:p>
          <w:p w14:paraId="3C40ED27"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7" w:name="co_footnote_B00162049136286_1"/>
      <w:bookmarkEnd w:id="77"/>
      <w:tr w:rsidR="00586E12" w:rsidRPr="004D2D8F" w14:paraId="613F068B" w14:textId="77777777">
        <w:tc>
          <w:tcPr>
            <w:tcW w:w="600" w:type="dxa"/>
            <w:tcBorders>
              <w:top w:val="nil"/>
              <w:left w:val="nil"/>
              <w:bottom w:val="nil"/>
              <w:right w:val="nil"/>
            </w:tcBorders>
          </w:tcPr>
          <w:p w14:paraId="485F1B96"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"#co_fnRef_B00162049136286_ID0ESJAK_1"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14</w:t>
            </w:r>
            <w:r w:rsidRPr="004D2D8F">
              <w:rPr>
                <w:rFonts w:ascii="Verdana" w:hAnsi="Verdana" w:cs="Times New Roman"/>
                <w:color w:val="000000"/>
              </w:rPr>
              <w:fldChar w:fldCharType="end"/>
            </w:r>
          </w:p>
          <w:p w14:paraId="03B235EB"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66CB257A"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LinkedIn asserts that the illegality of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actions under the CFAA is also grounds for holding (1) that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injuries are not cognizable as irreparable harm, (2) that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contracts are illegal and so their breach cannot give rise to a cognizable tortious interference with contract claim, and (3) that LinkedIn has a legitimate business interest in asserting its rights under federal law that justifies its interference with </w:t>
            </w:r>
            <w:proofErr w:type="spellStart"/>
            <w:r w:rsidRPr="004D2D8F">
              <w:rPr>
                <w:rFonts w:ascii="Verdana" w:hAnsi="Verdana" w:cs="Times New Roman"/>
                <w:color w:val="000000"/>
              </w:rPr>
              <w:t>hiQ’s</w:t>
            </w:r>
            <w:proofErr w:type="spellEnd"/>
            <w:r w:rsidRPr="004D2D8F">
              <w:rPr>
                <w:rFonts w:ascii="Verdana" w:hAnsi="Verdana" w:cs="Times New Roman"/>
                <w:color w:val="000000"/>
              </w:rPr>
              <w:t xml:space="preserve"> contracts. </w:t>
            </w:r>
            <w:r w:rsidRPr="004D2D8F">
              <w:rPr>
                <w:rFonts w:ascii="Verdana" w:hAnsi="Verdana" w:cs="Times New Roman"/>
                <w:i/>
                <w:iCs/>
                <w:color w:val="000000"/>
              </w:rPr>
              <w:t>See supra</w:t>
            </w:r>
            <w:r w:rsidRPr="004D2D8F">
              <w:rPr>
                <w:rFonts w:ascii="Verdana" w:hAnsi="Verdana" w:cs="Times New Roman"/>
                <w:color w:val="000000"/>
              </w:rPr>
              <w:t xml:space="preserve"> n.10. These contentions are insufficient at this stage for the same </w:t>
            </w:r>
            <w:r w:rsidRPr="004D2D8F">
              <w:rPr>
                <w:rFonts w:ascii="Verdana" w:hAnsi="Verdana" w:cs="Times New Roman"/>
                <w:color w:val="000000"/>
              </w:rPr>
              <w:lastRenderedPageBreak/>
              <w:t>reasons LinkedIn’s CFAA preemption position does not preclude preliminary injunctive relief.</w:t>
            </w:r>
          </w:p>
          <w:p w14:paraId="1A69A080"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8" w:name="co_footnote_B00172049136286_1"/>
      <w:bookmarkEnd w:id="78"/>
      <w:tr w:rsidR="00586E12" w:rsidRPr="004D2D8F" w14:paraId="3C6E52BE" w14:textId="77777777">
        <w:tc>
          <w:tcPr>
            <w:tcW w:w="600" w:type="dxa"/>
            <w:tcBorders>
              <w:top w:val="nil"/>
              <w:left w:val="nil"/>
              <w:bottom w:val="nil"/>
              <w:right w:val="nil"/>
            </w:tcBorders>
          </w:tcPr>
          <w:p w14:paraId="49EAFD9A"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lastRenderedPageBreak/>
              <w:fldChar w:fldCharType="begin"/>
            </w:r>
            <w:r w:rsidRPr="004D2D8F">
              <w:rPr>
                <w:rFonts w:ascii="Verdana" w:hAnsi="Verdana" w:cs="Times New Roman"/>
                <w:color w:val="000000"/>
              </w:rPr>
              <w:instrText xml:space="preserve">HYPERLINK "#co_fnRef_B00172049136286_ID0ESKAK_1"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15</w:t>
            </w:r>
            <w:r w:rsidRPr="004D2D8F">
              <w:rPr>
                <w:rFonts w:ascii="Verdana" w:hAnsi="Verdana" w:cs="Times New Roman"/>
                <w:color w:val="000000"/>
              </w:rPr>
              <w:fldChar w:fldCharType="end"/>
            </w:r>
          </w:p>
          <w:p w14:paraId="570FE77E"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1830B1DB" w14:textId="5411CF50"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 xml:space="preserve">LinkedIn’s cease-and-desist letter also asserted a state common law claim of trespass to chattels. Although we do not decide the question, </w:t>
            </w:r>
            <w:r w:rsidRPr="004D2D8F">
              <w:rPr>
                <w:rFonts w:ascii="Verdana" w:hAnsi="Verdana" w:cs="Times New Roman"/>
                <w:i/>
                <w:iCs/>
                <w:color w:val="000000"/>
              </w:rPr>
              <w:t>see supra</w:t>
            </w:r>
            <w:r w:rsidRPr="004D2D8F">
              <w:rPr>
                <w:rFonts w:ascii="Verdana" w:hAnsi="Verdana" w:cs="Times New Roman"/>
                <w:color w:val="000000"/>
              </w:rPr>
              <w:t xml:space="preserve"> pp. 995–96, it may be that web scraping exceeding the scope of the website owner’s consent gives rise to a common law tort claim for trespass to chattels, at least when it causes demonstrable harm. </w:t>
            </w:r>
            <w:r w:rsidRPr="004D2D8F">
              <w:rPr>
                <w:rFonts w:ascii="Verdana" w:hAnsi="Verdana" w:cs="Times New Roman"/>
                <w:i/>
                <w:iCs/>
                <w:color w:val="000000"/>
              </w:rPr>
              <w:t xml:space="preserve">Compare </w:t>
            </w:r>
            <w:r w:rsidR="004D2D8F" w:rsidRPr="004D2D8F">
              <w:rPr>
                <w:rFonts w:ascii="Verdana" w:hAnsi="Verdana" w:cs="Times New Roman"/>
                <w:noProof/>
                <w:color w:val="000000"/>
              </w:rPr>
              <w:drawing>
                <wp:inline distT="0" distB="0" distL="0" distR="0" wp14:anchorId="32380B39" wp14:editId="2F4DBB29">
                  <wp:extent cx="160020" cy="160020"/>
                  <wp:effectExtent l="0" t="0" r="0" b="0"/>
                  <wp:docPr id="107" name="Picture 107">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77" w:anchor="co_pp_sp_4637_1070" w:history="1">
              <w:r w:rsidRPr="004D2D8F">
                <w:rPr>
                  <w:rFonts w:ascii="Verdana" w:hAnsi="Verdana" w:cs="Times New Roman"/>
                  <w:i/>
                  <w:iCs/>
                  <w:color w:val="0000FF"/>
                </w:rPr>
                <w:t>eBay, Inc. v. Bidder’s Edge, Inc.</w:t>
              </w:r>
              <w:r w:rsidRPr="004D2D8F">
                <w:rPr>
                  <w:rFonts w:ascii="Verdana" w:hAnsi="Verdana" w:cs="Times New Roman"/>
                  <w:color w:val="0000FF"/>
                </w:rPr>
                <w:t>, 100 F. Supp. 2d 1058, 1070 (N.D. Cal. 2000)</w:t>
              </w:r>
            </w:hyperlink>
            <w:r w:rsidRPr="004D2D8F">
              <w:rPr>
                <w:rFonts w:ascii="Verdana" w:hAnsi="Verdana" w:cs="Times New Roman"/>
                <w:color w:val="000000"/>
              </w:rPr>
              <w:t xml:space="preserve"> (finding that eBay had established a likelihood of success on its trespass claim against the auction-aggregating site Bidder’s Edge because, although eBay’s “site is publicly accessible,” “eBay’s servers are private property, conditional access to which eBay grants the public,” and Bidder’s Edge had exceeded the scope of any consent, even if it did not cause physical harm); </w:t>
            </w:r>
            <w:r w:rsidR="004D2D8F" w:rsidRPr="004D2D8F">
              <w:rPr>
                <w:rFonts w:ascii="Verdana" w:hAnsi="Verdana" w:cs="Times New Roman"/>
                <w:noProof/>
                <w:color w:val="000000"/>
              </w:rPr>
              <w:drawing>
                <wp:inline distT="0" distB="0" distL="0" distR="0" wp14:anchorId="2B134653" wp14:editId="4833AE85">
                  <wp:extent cx="160020" cy="160020"/>
                  <wp:effectExtent l="0" t="0" r="0" b="0"/>
                  <wp:docPr id="108" name="Picture 108">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79" w:anchor="co_pp_sp_506_437" w:history="1">
              <w:r w:rsidRPr="004D2D8F">
                <w:rPr>
                  <w:rFonts w:ascii="Verdana" w:hAnsi="Verdana" w:cs="Times New Roman"/>
                  <w:i/>
                  <w:iCs/>
                  <w:color w:val="0000FF"/>
                </w:rPr>
                <w:t xml:space="preserve">Register.com, Inc. v. </w:t>
              </w:r>
              <w:proofErr w:type="spellStart"/>
              <w:r w:rsidRPr="004D2D8F">
                <w:rPr>
                  <w:rFonts w:ascii="Verdana" w:hAnsi="Verdana" w:cs="Times New Roman"/>
                  <w:i/>
                  <w:iCs/>
                  <w:color w:val="0000FF"/>
                </w:rPr>
                <w:t>Verio</w:t>
              </w:r>
              <w:proofErr w:type="spellEnd"/>
              <w:r w:rsidRPr="004D2D8F">
                <w:rPr>
                  <w:rFonts w:ascii="Verdana" w:hAnsi="Verdana" w:cs="Times New Roman"/>
                  <w:i/>
                  <w:iCs/>
                  <w:color w:val="0000FF"/>
                </w:rPr>
                <w:t>, Inc.</w:t>
              </w:r>
              <w:r w:rsidRPr="004D2D8F">
                <w:rPr>
                  <w:rFonts w:ascii="Verdana" w:hAnsi="Verdana" w:cs="Times New Roman"/>
                  <w:color w:val="0000FF"/>
                </w:rPr>
                <w:t>, 356 F.3d 393, 437–38 (2d Cir. 2004)</w:t>
              </w:r>
            </w:hyperlink>
            <w:r w:rsidRPr="004D2D8F">
              <w:rPr>
                <w:rFonts w:ascii="Verdana" w:hAnsi="Verdana" w:cs="Times New Roman"/>
                <w:color w:val="000000"/>
              </w:rPr>
              <w:t xml:space="preserve"> (holding that a company that scraped a competitor’s website to obtain data for marketing purposes likely committed trespass to chattels, because scraping could—although it did not yet—cause physical harm to the plaintiff’s computer servers); </w:t>
            </w:r>
            <w:r w:rsidR="004D2D8F" w:rsidRPr="004D2D8F">
              <w:rPr>
                <w:rFonts w:ascii="Verdana" w:hAnsi="Verdana" w:cs="Times New Roman"/>
                <w:noProof/>
                <w:color w:val="000000"/>
              </w:rPr>
              <w:drawing>
                <wp:inline distT="0" distB="0" distL="0" distR="0" wp14:anchorId="1D7DB5F9" wp14:editId="53313B44">
                  <wp:extent cx="160020" cy="160020"/>
                  <wp:effectExtent l="0" t="0" r="0" b="0"/>
                  <wp:docPr id="109" name="Picture 109">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81" w:anchor="co_pp_sp_4637_442" w:history="1">
              <w:r w:rsidRPr="004D2D8F">
                <w:rPr>
                  <w:rFonts w:ascii="Verdana" w:hAnsi="Verdana" w:cs="Times New Roman"/>
                  <w:i/>
                  <w:iCs/>
                  <w:color w:val="0000FF"/>
                </w:rPr>
                <w:t xml:space="preserve">Sw. Airlines Co. v. </w:t>
              </w:r>
              <w:proofErr w:type="spellStart"/>
              <w:r w:rsidRPr="004D2D8F">
                <w:rPr>
                  <w:rFonts w:ascii="Verdana" w:hAnsi="Verdana" w:cs="Times New Roman"/>
                  <w:i/>
                  <w:iCs/>
                  <w:color w:val="0000FF"/>
                </w:rPr>
                <w:t>FareChase</w:t>
              </w:r>
              <w:proofErr w:type="spellEnd"/>
              <w:r w:rsidRPr="004D2D8F">
                <w:rPr>
                  <w:rFonts w:ascii="Verdana" w:hAnsi="Verdana" w:cs="Times New Roman"/>
                  <w:i/>
                  <w:iCs/>
                  <w:color w:val="0000FF"/>
                </w:rPr>
                <w:t>, Inc.</w:t>
              </w:r>
              <w:r w:rsidRPr="004D2D8F">
                <w:rPr>
                  <w:rFonts w:ascii="Verdana" w:hAnsi="Verdana" w:cs="Times New Roman"/>
                  <w:color w:val="0000FF"/>
                </w:rPr>
                <w:t>, 318 F. Supp. 2d 435, 442 (N.D. Tex. 2004)</w:t>
              </w:r>
            </w:hyperlink>
            <w:r w:rsidRPr="004D2D8F">
              <w:rPr>
                <w:rFonts w:ascii="Verdana" w:hAnsi="Verdana" w:cs="Times New Roman"/>
                <w:color w:val="000000"/>
              </w:rPr>
              <w:t xml:space="preserve"> (holding that the use of a scraper to glean flight information was unauthorized as it interfered with Southwest’s use and possession of its site, even if the scraping did not cause physical harm or deprivation), </w:t>
            </w:r>
            <w:r w:rsidRPr="004D2D8F">
              <w:rPr>
                <w:rFonts w:ascii="Verdana" w:hAnsi="Verdana" w:cs="Times New Roman"/>
                <w:i/>
                <w:iCs/>
                <w:color w:val="000000"/>
              </w:rPr>
              <w:t xml:space="preserve">with </w:t>
            </w:r>
            <w:r w:rsidR="004D2D8F" w:rsidRPr="004D2D8F">
              <w:rPr>
                <w:rFonts w:ascii="Verdana" w:hAnsi="Verdana" w:cs="Times New Roman"/>
                <w:noProof/>
                <w:color w:val="000000"/>
              </w:rPr>
              <w:drawing>
                <wp:inline distT="0" distB="0" distL="0" distR="0" wp14:anchorId="7ABAC06F" wp14:editId="09BC0087">
                  <wp:extent cx="160020" cy="160020"/>
                  <wp:effectExtent l="0" t="0" r="0" b="0"/>
                  <wp:docPr id="110" name="Picture 110">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83" w:history="1">
              <w:r w:rsidRPr="004D2D8F">
                <w:rPr>
                  <w:rFonts w:ascii="Verdana" w:hAnsi="Verdana" w:cs="Times New Roman"/>
                  <w:i/>
                  <w:iCs/>
                  <w:color w:val="0000FF"/>
                </w:rPr>
                <w:t>Ticketmaster Corp. v. Tickets.Com, Inc.</w:t>
              </w:r>
              <w:r w:rsidRPr="004D2D8F">
                <w:rPr>
                  <w:rFonts w:ascii="Verdana" w:hAnsi="Verdana" w:cs="Times New Roman"/>
                  <w:color w:val="0000FF"/>
                </w:rPr>
                <w:t>, No. 2:99-cv-07654-HLH-VBK, 2003 WL 21406289, at *3 (C.D. Cal. Mar. 7, 2003)</w:t>
              </w:r>
            </w:hyperlink>
            <w:r w:rsidRPr="004D2D8F">
              <w:rPr>
                <w:rFonts w:ascii="Verdana" w:hAnsi="Verdana" w:cs="Times New Roman"/>
                <w:color w:val="000000"/>
              </w:rPr>
              <w:t xml:space="preserve"> (holding that the use of a web crawler to gather information from a public website, without more, is insufficient to fulfill the harm requirement of a trespass action); </w:t>
            </w:r>
            <w:r w:rsidR="004D2D8F" w:rsidRPr="004D2D8F">
              <w:rPr>
                <w:rFonts w:ascii="Verdana" w:hAnsi="Verdana" w:cs="Times New Roman"/>
                <w:noProof/>
                <w:color w:val="000000"/>
              </w:rPr>
              <w:drawing>
                <wp:inline distT="0" distB="0" distL="0" distR="0" wp14:anchorId="69755E41" wp14:editId="216C7D6C">
                  <wp:extent cx="160020" cy="160020"/>
                  <wp:effectExtent l="0" t="0" r="0" b="0"/>
                  <wp:docPr id="111" name="Picture 111">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85" w:anchor="co_pp_sp_4040_1364" w:history="1">
              <w:r w:rsidRPr="004D2D8F">
                <w:rPr>
                  <w:rFonts w:ascii="Verdana" w:hAnsi="Verdana" w:cs="Times New Roman"/>
                  <w:i/>
                  <w:iCs/>
                  <w:color w:val="0000FF"/>
                </w:rPr>
                <w:t>Intel Corp. v. Hamidi</w:t>
              </w:r>
              <w:r w:rsidRPr="004D2D8F">
                <w:rPr>
                  <w:rFonts w:ascii="Verdana" w:hAnsi="Verdana" w:cs="Times New Roman"/>
                  <w:color w:val="0000FF"/>
                </w:rPr>
                <w:t>, 30 Cal. 4th 1342, 1364, 1 Cal.Rptr.3d 32, 71 P.3d 296 (2003)</w:t>
              </w:r>
            </w:hyperlink>
            <w:r w:rsidRPr="004D2D8F">
              <w:rPr>
                <w:rFonts w:ascii="Verdana" w:hAnsi="Verdana" w:cs="Times New Roman"/>
                <w:color w:val="000000"/>
              </w:rPr>
              <w:t xml:space="preserve"> (holding that “trespass to chattels is not actionable if it does not involve actual or threatened injury” to property and the defendant’s actions did not damage or interfere with the operation of the computer systems at issue).</w:t>
            </w:r>
          </w:p>
          <w:p w14:paraId="1F23D34F"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79" w:name="co_footnote_B00182049136286_1"/>
      <w:bookmarkEnd w:id="79"/>
      <w:tr w:rsidR="00586E12" w:rsidRPr="004D2D8F" w14:paraId="364E07A4" w14:textId="77777777">
        <w:tc>
          <w:tcPr>
            <w:tcW w:w="600" w:type="dxa"/>
            <w:tcBorders>
              <w:top w:val="nil"/>
              <w:left w:val="nil"/>
              <w:bottom w:val="nil"/>
              <w:right w:val="nil"/>
            </w:tcBorders>
          </w:tcPr>
          <w:p w14:paraId="6F692314"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"#co_fnRef_B00182049136286_ID0E4UAK_1"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16</w:t>
            </w:r>
            <w:r w:rsidRPr="004D2D8F">
              <w:rPr>
                <w:rFonts w:ascii="Verdana" w:hAnsi="Verdana" w:cs="Times New Roman"/>
                <w:color w:val="000000"/>
              </w:rPr>
              <w:fldChar w:fldCharType="end"/>
            </w:r>
          </w:p>
          <w:p w14:paraId="2F73B139"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0462B466"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In a denial-of-service (DoS) attack, an attacker seeks to prevent legitimate users from accessing a targeted computer or network, typically by flooding the target with requests and thereby overloading the server.</w:t>
            </w:r>
          </w:p>
          <w:p w14:paraId="59AF549E"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bookmarkStart w:id="80" w:name="co_footnote_B00192049136286_1"/>
      <w:bookmarkEnd w:id="80"/>
      <w:tr w:rsidR="00586E12" w:rsidRPr="004D2D8F" w14:paraId="01269CF9" w14:textId="77777777">
        <w:tc>
          <w:tcPr>
            <w:tcW w:w="600" w:type="dxa"/>
            <w:tcBorders>
              <w:top w:val="nil"/>
              <w:left w:val="nil"/>
              <w:bottom w:val="nil"/>
              <w:right w:val="nil"/>
            </w:tcBorders>
          </w:tcPr>
          <w:p w14:paraId="6A87FB0A" w14:textId="77777777" w:rsidR="00586E12" w:rsidRPr="004D2D8F" w:rsidRDefault="00DE6F1B">
            <w:pPr>
              <w:widowControl w:val="0"/>
              <w:autoSpaceDE w:val="0"/>
              <w:autoSpaceDN w:val="0"/>
              <w:adjustRightInd w:val="0"/>
              <w:spacing w:after="0" w:line="240" w:lineRule="auto"/>
              <w:rPr>
                <w:rFonts w:ascii="Verdana" w:hAnsi="Verdana" w:cs="Times New Roman"/>
                <w:color w:val="000000"/>
              </w:rPr>
            </w:pPr>
            <w:r w:rsidRPr="004D2D8F">
              <w:rPr>
                <w:rFonts w:ascii="Verdana" w:hAnsi="Verdana" w:cs="Times New Roman"/>
                <w:color w:val="000000"/>
              </w:rPr>
              <w:fldChar w:fldCharType="begin"/>
            </w:r>
            <w:r w:rsidRPr="004D2D8F">
              <w:rPr>
                <w:rFonts w:ascii="Verdana" w:hAnsi="Verdana" w:cs="Times New Roman"/>
                <w:color w:val="000000"/>
              </w:rPr>
              <w:instrText xml:space="preserve">HYPERLINK "#co_fnRef_B00192049136286_ID0EXVAK_1" </w:instrText>
            </w:r>
            <w:r w:rsidRPr="004D2D8F">
              <w:rPr>
                <w:rFonts w:ascii="Verdana" w:hAnsi="Verdana" w:cs="Times New Roman"/>
                <w:color w:val="000000"/>
              </w:rPr>
              <w:fldChar w:fldCharType="separate"/>
            </w:r>
            <w:r w:rsidRPr="004D2D8F">
              <w:rPr>
                <w:rFonts w:ascii="Verdana" w:hAnsi="Verdana" w:cs="Times New Roman"/>
                <w:color w:val="0000FF"/>
                <w:vertAlign w:val="superscript"/>
              </w:rPr>
              <w:t>17</w:t>
            </w:r>
            <w:r w:rsidRPr="004D2D8F">
              <w:rPr>
                <w:rFonts w:ascii="Verdana" w:hAnsi="Verdana" w:cs="Times New Roman"/>
                <w:color w:val="000000"/>
              </w:rPr>
              <w:fldChar w:fldCharType="end"/>
            </w:r>
          </w:p>
          <w:p w14:paraId="7DB68E03" w14:textId="77777777" w:rsidR="00586E12" w:rsidRPr="004D2D8F" w:rsidRDefault="00586E1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5F73120F" w14:textId="77777777" w:rsidR="00586E12" w:rsidRPr="004D2D8F" w:rsidRDefault="00DE6F1B">
            <w:pPr>
              <w:widowControl w:val="0"/>
              <w:autoSpaceDE w:val="0"/>
              <w:autoSpaceDN w:val="0"/>
              <w:adjustRightInd w:val="0"/>
              <w:spacing w:after="0" w:line="240" w:lineRule="auto"/>
              <w:jc w:val="both"/>
              <w:rPr>
                <w:rFonts w:ascii="Verdana" w:hAnsi="Verdana" w:cs="Times New Roman"/>
                <w:color w:val="000000"/>
              </w:rPr>
            </w:pPr>
            <w:r w:rsidRPr="004D2D8F">
              <w:rPr>
                <w:rFonts w:ascii="Verdana" w:hAnsi="Verdana" w:cs="Times New Roman"/>
                <w:color w:val="000000"/>
              </w:rPr>
              <w:t>We note that LinkedIn has not specifically challenged the scope of the injunction.</w:t>
            </w:r>
          </w:p>
          <w:p w14:paraId="5C88A4C9"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tc>
      </w:tr>
    </w:tbl>
    <w:p w14:paraId="4160A9CA"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01DC9161" w14:textId="77777777" w:rsidR="00586E12" w:rsidRPr="004D2D8F" w:rsidRDefault="00586E12">
      <w:pPr>
        <w:widowControl w:val="0"/>
        <w:autoSpaceDE w:val="0"/>
        <w:autoSpaceDN w:val="0"/>
        <w:adjustRightInd w:val="0"/>
        <w:spacing w:after="0" w:line="240" w:lineRule="auto"/>
        <w:jc w:val="both"/>
        <w:rPr>
          <w:rFonts w:ascii="Verdana" w:hAnsi="Verdana" w:cs="Times New Roman"/>
          <w:color w:val="000000"/>
        </w:rPr>
      </w:pPr>
    </w:p>
    <w:p w14:paraId="05C1F602" w14:textId="77777777" w:rsidR="00DE6F1B" w:rsidRPr="004D2D8F" w:rsidRDefault="00DE6F1B">
      <w:pPr>
        <w:widowControl w:val="0"/>
        <w:autoSpaceDE w:val="0"/>
        <w:autoSpaceDN w:val="0"/>
        <w:adjustRightInd w:val="0"/>
        <w:spacing w:after="0" w:line="240" w:lineRule="auto"/>
        <w:rPr>
          <w:rFonts w:ascii="Verdana" w:hAnsi="Verdana" w:cs="Arial"/>
        </w:rPr>
      </w:pPr>
    </w:p>
    <w:sectPr w:rsidR="00DE6F1B" w:rsidRPr="004D2D8F">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2DA9D" w14:textId="77777777" w:rsidR="00525B3A" w:rsidRDefault="00525B3A">
      <w:pPr>
        <w:spacing w:after="0" w:line="240" w:lineRule="auto"/>
      </w:pPr>
      <w:r>
        <w:separator/>
      </w:r>
    </w:p>
  </w:endnote>
  <w:endnote w:type="continuationSeparator" w:id="0">
    <w:p w14:paraId="40179DC9" w14:textId="77777777" w:rsidR="00525B3A" w:rsidRDefault="0052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C65B" w14:textId="77777777" w:rsidR="00586E12" w:rsidRDefault="00586E12">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54857" w14:textId="77777777" w:rsidR="00525B3A" w:rsidRDefault="00525B3A">
      <w:pPr>
        <w:spacing w:after="0" w:line="240" w:lineRule="auto"/>
      </w:pPr>
      <w:r>
        <w:separator/>
      </w:r>
    </w:p>
  </w:footnote>
  <w:footnote w:type="continuationSeparator" w:id="0">
    <w:p w14:paraId="1CD8D56C" w14:textId="77777777" w:rsidR="00525B3A" w:rsidRDefault="0052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8B97" w14:textId="77777777" w:rsidR="00586E12" w:rsidRDefault="00586E12">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8F"/>
    <w:rsid w:val="004D2D8F"/>
    <w:rsid w:val="00525B3A"/>
    <w:rsid w:val="00586E12"/>
    <w:rsid w:val="00DE6F1B"/>
    <w:rsid w:val="00E420CA"/>
    <w:rsid w:val="00F7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23DA5"/>
  <w14:defaultImageDpi w14:val="0"/>
  <w15:docId w15:val="{EE066C53-F049-46E0-9C99-842140A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8F"/>
    <w:pPr>
      <w:tabs>
        <w:tab w:val="center" w:pos="4680"/>
        <w:tab w:val="right" w:pos="9360"/>
      </w:tabs>
    </w:pPr>
  </w:style>
  <w:style w:type="character" w:customStyle="1" w:styleId="HeaderChar">
    <w:name w:val="Header Char"/>
    <w:basedOn w:val="DefaultParagraphFont"/>
    <w:link w:val="Header"/>
    <w:uiPriority w:val="99"/>
    <w:rsid w:val="004D2D8F"/>
  </w:style>
  <w:style w:type="paragraph" w:styleId="Footer">
    <w:name w:val="footer"/>
    <w:basedOn w:val="Normal"/>
    <w:link w:val="FooterChar"/>
    <w:uiPriority w:val="99"/>
    <w:unhideWhenUsed/>
    <w:rsid w:val="004D2D8F"/>
    <w:pPr>
      <w:tabs>
        <w:tab w:val="center" w:pos="4680"/>
        <w:tab w:val="right" w:pos="9360"/>
      </w:tabs>
    </w:pPr>
  </w:style>
  <w:style w:type="character" w:customStyle="1" w:styleId="FooterChar">
    <w:name w:val="Footer Char"/>
    <w:basedOn w:val="DefaultParagraphFont"/>
    <w:link w:val="Footer"/>
    <w:uiPriority w:val="99"/>
    <w:rsid w:val="004D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1.next.westlaw.com/Link/RelatedInformation/Flag?documentGuid=I9098fc209cf011e9b508f0c9c0d45880&amp;transitionType=InlineKeyCiteFlags&amp;originationContext=docHeaderFlag&amp;Rank=0&amp;contextData=(sc.UserEnteredCitation)" TargetMode="External"/><Relationship Id="rId21" Type="http://schemas.openxmlformats.org/officeDocument/2006/relationships/hyperlink" Target="http://www.westlaw.com/Link/Document/FullText?findType=Y&amp;serNum=1980150076&amp;pubNum=0000350&amp;originatingDoc=I7061ba40d32e11e9a803cc27e5772c47&amp;refType=RP&amp;fi=co_pp_sp_350_1202&amp;originationContext=document&amp;vr=3.0&amp;rs=cblt1.0&amp;transitionType=DocumentItem&amp;contextData=(sc.UserEnteredCitation)" TargetMode="External"/><Relationship Id="rId42" Type="http://schemas.openxmlformats.org/officeDocument/2006/relationships/hyperlink" Target="http://www.westlaw.com/Link/Document/FullText?findType=Y&amp;serNum=1941117273&amp;pubNum=0000231&amp;originatingDoc=I7061ba40d32e11e9a803cc27e5772c47&amp;refType=RP&amp;fi=co_pp_sp_231_36&amp;originationContext=document&amp;vr=3.0&amp;rs=cblt1.0&amp;transitionType=DocumentItem&amp;contextData=(sc.UserEnteredCitation)" TargetMode="External"/><Relationship Id="rId47" Type="http://schemas.openxmlformats.org/officeDocument/2006/relationships/hyperlink" Target="http://www.westlaw.com/Link/Document/FullText?findType=Y&amp;serNum=1941117273&amp;pubNum=0000661&amp;originatingDoc=I7061ba40d32e11e9a803cc27e5772c47&amp;refType=RP&amp;originationContext=document&amp;vr=3.0&amp;rs=cblt1.0&amp;transitionType=DocumentItem&amp;contextData=(sc.UserEnteredCitation)" TargetMode="External"/><Relationship Id="rId63" Type="http://schemas.openxmlformats.org/officeDocument/2006/relationships/hyperlink" Target="https://1.next.westlaw.com/Link/RelatedInformation/Flag?documentGuid=Idbda27c5facc11d983e7e9deff98dc6f&amp;transitionType=InlineKeyCiteFlags&amp;originationContext=docHeaderFlag&amp;Rank=0&amp;contextData=(sc.UserEnteredCitation)" TargetMode="External"/><Relationship Id="rId68" Type="http://schemas.openxmlformats.org/officeDocument/2006/relationships/hyperlink" Target="http://www.westlaw.com/Link/Document/FullText?findType=Y&amp;serNum=1990090448&amp;pubNum=0000233&amp;originatingDoc=I7061ba40d32e11e9a803cc27e5772c47&amp;refType=RP&amp;fi=co_pp_sp_233_1129&amp;originationContext=document&amp;vr=3.0&amp;rs=cblt1.0&amp;transitionType=DocumentItem&amp;contextData=(sc.UserEnteredCitation)" TargetMode="External"/><Relationship Id="rId84" Type="http://schemas.openxmlformats.org/officeDocument/2006/relationships/hyperlink" Target="https://1.next.westlaw.com/Link/RelatedInformation/Flag?documentGuid=I5b80d043fa7011d99439b076ef9ec4de&amp;transitionType=InlineKeyCiteFlags&amp;originationContext=docHeaderFlag&amp;Rank=0&amp;contextData=(sc.UserEnteredCitation)" TargetMode="External"/><Relationship Id="rId16" Type="http://schemas.openxmlformats.org/officeDocument/2006/relationships/hyperlink" Target="https://1.next.westlaw.com/Link/RelatedInformation/Flag?documentGuid=I30dcad5928c211e080558336ea473530&amp;transitionType=InlineKeyCiteFlags&amp;originationContext=docHeaderFlag&amp;Rank=0&amp;contextData=(sc.UserEnteredCitation)" TargetMode="External"/><Relationship Id="rId11" Type="http://schemas.openxmlformats.org/officeDocument/2006/relationships/hyperlink" Target="https://1.next.westlaw.com/Link/RelatedInformation/Flag?documentGuid=I2c2f54e6b02911ddb7e683ba170699a5&amp;transitionType=InlineKeyCiteFlags&amp;originationContext=docHeaderFlag&amp;Rank=0&amp;contextData=(sc.UserEnteredCitation)" TargetMode="External"/><Relationship Id="rId32" Type="http://schemas.openxmlformats.org/officeDocument/2006/relationships/hyperlink" Target="https://1.next.westlaw.com/Link/RelatedInformation/Flag?documentGuid=I330c0915fabd11d9bf60c1d57ebc853e&amp;transitionType=InlineKeyCiteFlags&amp;originationContext=docHeaderFlag&amp;Rank=0&amp;contextData=(sc.UserEnteredCitation)" TargetMode="External"/><Relationship Id="rId37" Type="http://schemas.openxmlformats.org/officeDocument/2006/relationships/hyperlink" Target="https://1.next.westlaw.com/Link/RelatedInformation/Flag?documentGuid=I20073518fab811d9bf60c1d57ebc853e&amp;transitionType=InlineKeyCiteFlags&amp;originationContext=docHeaderFlag&amp;Rank=0&amp;contextData=(sc.UserEnteredCitation)" TargetMode="External"/><Relationship Id="rId53" Type="http://schemas.openxmlformats.org/officeDocument/2006/relationships/hyperlink" Target="https://1.next.westlaw.com/Link/RelatedInformation/Flag?documentGuid=I481c0113fa9b11d99439b076ef9ec4de&amp;transitionType=InlineKeyCiteFlags&amp;originationContext=docHeaderFlag&amp;Rank=0&amp;contextData=(sc.UserEnteredCitation)" TargetMode="External"/><Relationship Id="rId58" Type="http://schemas.openxmlformats.org/officeDocument/2006/relationships/hyperlink" Target="http://www.westlaw.com/Link/Document/FullText?findType=Y&amp;serNum=1981108272&amp;pubNum=0000226&amp;originatingDoc=I7061ba40d32e11e9a803cc27e5772c47&amp;refType=RP&amp;fi=co_pp_sp_226_127&amp;originationContext=document&amp;vr=3.0&amp;rs=cblt1.0&amp;transitionType=DocumentItem&amp;contextData=(sc.UserEnteredCitation)" TargetMode="External"/><Relationship Id="rId74" Type="http://schemas.openxmlformats.org/officeDocument/2006/relationships/hyperlink" Target="http://www.westlaw.com/Link/Document/FullText?findType=L&amp;pubNum=1000546&amp;cite=18USCAS1030&amp;originatingDoc=I7061ba40d32e11e9a803cc27e5772c47&amp;refType=RB&amp;originationContext=document&amp;vr=3.0&amp;rs=cblt1.0&amp;transitionType=DocumentItem&amp;contextData=(sc.UserEnteredCitation)" TargetMode="External"/><Relationship Id="rId79" Type="http://schemas.openxmlformats.org/officeDocument/2006/relationships/hyperlink" Target="http://www.westlaw.com/Link/Document/FullText?findType=Y&amp;serNum=2004080878&amp;pubNum=0000506&amp;originatingDoc=I7061ba40d32e11e9a803cc27e5772c47&amp;refType=RP&amp;fi=co_pp_sp_506_437&amp;originationContext=document&amp;vr=3.0&amp;rs=cblt1.0&amp;transitionType=DocumentItem&amp;contextData=(sc.UserEnteredCitation)" TargetMode="External"/><Relationship Id="rId5" Type="http://schemas.openxmlformats.org/officeDocument/2006/relationships/endnotes" Target="endnotes.xml"/><Relationship Id="rId19" Type="http://schemas.openxmlformats.org/officeDocument/2006/relationships/hyperlink" Target="http://www.westlaw.com/Link/Document/FullText?findType=Y&amp;serNum=2043455574&amp;pubNum=0000506&amp;originatingDoc=I7061ba40d32e11e9a803cc27e5772c47&amp;refType=RP&amp;fi=co_pp_sp_506_713&amp;originationContext=document&amp;vr=3.0&amp;rs=cblt1.0&amp;transitionType=DocumentItem&amp;contextData=(sc.UserEnteredCitation)" TargetMode="External"/><Relationship Id="rId14" Type="http://schemas.openxmlformats.org/officeDocument/2006/relationships/hyperlink" Target="https://1.next.westlaw.com/Link/RelatedInformation/Flag?documentGuid=Ic7fcc24c153e11deb6a3a099756c05b7&amp;transitionType=InlineKeyCiteFlags&amp;originationContext=docHeaderFlag&amp;Rank=0&amp;contextData=(sc.UserEnteredCitation)" TargetMode="External"/><Relationship Id="rId22" Type="http://schemas.openxmlformats.org/officeDocument/2006/relationships/hyperlink" Target="http://www.westlaw.com/Link/Document/FullText?findType=Y&amp;serNum=1985102036&amp;pubNum=0000350&amp;originatingDoc=I7061ba40d32e11e9a803cc27e5772c47&amp;refType=RP&amp;fi=co_pp_sp_350_1474&amp;originationContext=document&amp;vr=3.0&amp;rs=cblt1.0&amp;transitionType=DocumentItem&amp;contextData=(sc.UserEnteredCitation)" TargetMode="External"/><Relationship Id="rId27" Type="http://schemas.openxmlformats.org/officeDocument/2006/relationships/hyperlink" Target="http://www.westlaw.com/Link/Document/FullText?findType=Y&amp;serNum=2048614935&amp;pubNum=0000506&amp;originatingDoc=I7061ba40d32e11e9a803cc27e5772c47&amp;refType=RP&amp;fi=co_pp_sp_506_852&amp;originationContext=document&amp;vr=3.0&amp;rs=cblt1.0&amp;transitionType=DocumentItem&amp;contextData=(sc.UserEnteredCitation)" TargetMode="External"/><Relationship Id="rId30" Type="http://schemas.openxmlformats.org/officeDocument/2006/relationships/hyperlink" Target="https://1.next.westlaw.com/Link/RelatedInformation/Flag?documentGuid=N8AE079B082B811D8BE40B2081C49D94B&amp;transitionType=InlineKeyCiteFlags&amp;originationContext=docHeaderFlag&amp;Rank=0&amp;contextData=(sc.UserEnteredCitation)" TargetMode="External"/><Relationship Id="rId35" Type="http://schemas.openxmlformats.org/officeDocument/2006/relationships/hyperlink" Target="https://1.next.westlaw.com/Link/RelatedInformation/Flag?documentGuid=I024959551e2911e2b60bb297d3d07bc5&amp;transitionType=InlineKeyCiteFlags&amp;originationContext=docHeaderFlag&amp;Rank=0&amp;contextData=(sc.UserEnteredCitation)" TargetMode="External"/><Relationship Id="rId43" Type="http://schemas.openxmlformats.org/officeDocument/2006/relationships/hyperlink" Target="https://1.next.westlaw.com/Link/RelatedInformation/Flag?documentGuid=I9e774d22faba11d9bf60c1d57ebc853e&amp;transitionType=InlineKeyCiteFlags&amp;originationContext=docHeaderFlag&amp;Rank=0&amp;contextData=(sc.UserEnteredCitation)" TargetMode="External"/><Relationship Id="rId48" Type="http://schemas.openxmlformats.org/officeDocument/2006/relationships/hyperlink" Target="http://www.westlaw.com/Link/Document/FullText?findType=Y&amp;serNum=1941117273&amp;pubNum=0000661&amp;originatingDoc=I7061ba40d32e11e9a803cc27e5772c47&amp;refType=RP&amp;originationContext=document&amp;vr=3.0&amp;rs=cblt1.0&amp;transitionType=DocumentItem&amp;contextData=(sc.UserEnteredCitation)" TargetMode="External"/><Relationship Id="rId56" Type="http://schemas.openxmlformats.org/officeDocument/2006/relationships/hyperlink" Target="http://www.westlaw.com/Link/Document/FullText?findType=Y&amp;serNum=1979111817&amp;pubNum=0000226&amp;originatingDoc=I7061ba40d32e11e9a803cc27e5772c47&amp;refType=RP&amp;fi=co_pp_sp_226_81&amp;originationContext=document&amp;vr=3.0&amp;rs=cblt1.0&amp;transitionType=DocumentItem&amp;contextData=(sc.UserEnteredCitation)" TargetMode="External"/><Relationship Id="rId64" Type="http://schemas.openxmlformats.org/officeDocument/2006/relationships/image" Target="media/image3.png"/><Relationship Id="rId69" Type="http://schemas.openxmlformats.org/officeDocument/2006/relationships/hyperlink" Target="http://www.westlaw.com/Link/Document/FullText?findType=L&amp;pubNum=1000217&amp;cite=CAPES502&amp;originatingDoc=I7061ba40d32e11e9a803cc27e5772c47&amp;refType=LQ&amp;originationContext=document&amp;vr=3.0&amp;rs=cblt1.0&amp;transitionType=DocumentItem&amp;contextData=(sc.UserEnteredCitation)" TargetMode="External"/><Relationship Id="rId77" Type="http://schemas.openxmlformats.org/officeDocument/2006/relationships/hyperlink" Target="http://www.westlaw.com/Link/Document/FullText?findType=Y&amp;serNum=2000380134&amp;pubNum=0004637&amp;originatingDoc=I7061ba40d32e11e9a803cc27e5772c47&amp;refType=RP&amp;fi=co_pp_sp_4637_1070&amp;originationContext=document&amp;vr=3.0&amp;rs=cblt1.0&amp;transitionType=DocumentItem&amp;contextData=(sc.UserEnteredCitation)" TargetMode="External"/><Relationship Id="rId8" Type="http://schemas.openxmlformats.org/officeDocument/2006/relationships/hyperlink" Target="http://www.westlaw.com/Link/Document/FullText?findType=h&amp;pubNum=176284&amp;cite=0204838401&amp;originatingDoc=I7061ba40d32e11e9a803cc27e5772c47&amp;refType=RQ&amp;originationContext=document&amp;vr=3.0&amp;rs=cblt1.0&amp;transitionType=DocumentItem&amp;contextData=(sc.UserEnteredCitation)" TargetMode="External"/><Relationship Id="rId51" Type="http://schemas.openxmlformats.org/officeDocument/2006/relationships/hyperlink" Target="https://1.next.westlaw.com/Link/RelatedInformation/Flag?documentGuid=I8464578efb0f11d9b386b232635db992&amp;transitionType=InlineKeyCiteFlags&amp;originationContext=docHeaderFlag&amp;Rank=0&amp;contextData=(sc.UserEnteredCitation)" TargetMode="External"/><Relationship Id="rId72" Type="http://schemas.openxmlformats.org/officeDocument/2006/relationships/hyperlink" Target="http://www.westlaw.com/Link/Document/FullText?findType=L&amp;pubNum=1000200&amp;cite=CACIS1598&amp;originatingDoc=I7061ba40d32e11e9a803cc27e5772c47&amp;refType=LQ&amp;originationContext=document&amp;vr=3.0&amp;rs=cblt1.0&amp;transitionType=DocumentItem&amp;contextData=(sc.UserEnteredCitation)" TargetMode="External"/><Relationship Id="rId80" Type="http://schemas.openxmlformats.org/officeDocument/2006/relationships/hyperlink" Target="https://1.next.westlaw.com/Link/RelatedInformation/Flag?documentGuid=I1dd48f20541b11d9b17ee4cdc604a702&amp;transitionType=InlineKeyCiteFlags&amp;originationContext=docHeaderFlag&amp;Rank=0&amp;contextData=(sc.UserEnteredCitation)" TargetMode="External"/><Relationship Id="rId85" Type="http://schemas.openxmlformats.org/officeDocument/2006/relationships/hyperlink" Target="http://www.westlaw.com/Link/Document/FullText?findType=Y&amp;serNum=2003460129&amp;pubNum=0004040&amp;originatingDoc=I7061ba40d32e11e9a803cc27e5772c47&amp;refType=RP&amp;fi=co_pp_sp_4040_1364&amp;originationContext=document&amp;vr=3.0&amp;rs=cblt1.0&amp;transitionType=DocumentItem&amp;contextData=(sc.UserEnteredCitation)" TargetMode="External"/><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westlaw.com/Link/Document/FullText?findType=Y&amp;serNum=2024453767&amp;pubNum=0000506&amp;originatingDoc=I7061ba40d32e11e9a803cc27e5772c47&amp;refType=RP&amp;fi=co_pp_sp_506_1131&amp;originationContext=document&amp;vr=3.0&amp;rs=cblt1.0&amp;transitionType=DocumentItem&amp;contextData=(sc.UserEnteredCitation)" TargetMode="External"/><Relationship Id="rId25" Type="http://schemas.openxmlformats.org/officeDocument/2006/relationships/hyperlink" Target="http://www.westlaw.com/Link/Document/FullText?findType=Y&amp;serNum=1985102036&amp;pubNum=0000350&amp;originatingDoc=I7061ba40d32e11e9a803cc27e5772c47&amp;refType=RP&amp;fi=co_pp_sp_350_1474&amp;originationContext=document&amp;vr=3.0&amp;rs=cblt1.0&amp;transitionType=DocumentItem&amp;contextData=(sc.UserEnteredCitation)" TargetMode="External"/><Relationship Id="rId33" Type="http://schemas.openxmlformats.org/officeDocument/2006/relationships/hyperlink" Target="http://www.westlaw.com/Link/Document/FullText?findType=Y&amp;serNum=1990090448&amp;pubNum=0000233&amp;originatingDoc=I7061ba40d32e11e9a803cc27e5772c47&amp;refType=RP&amp;fi=co_pp_sp_233_1126&amp;originationContext=document&amp;vr=3.0&amp;rs=cblt1.0&amp;transitionType=DocumentItem&amp;contextData=(sc.UserEnteredCitation)" TargetMode="External"/><Relationship Id="rId38" Type="http://schemas.openxmlformats.org/officeDocument/2006/relationships/hyperlink" Target="http://www.westlaw.com/Link/Document/FullText?findType=Y&amp;serNum=1998179594&amp;pubNum=0004040&amp;originatingDoc=I7061ba40d32e11e9a803cc27e5772c47&amp;refType=RP&amp;fi=co_pp_sp_4040_57&amp;originationContext=document&amp;vr=3.0&amp;rs=cblt1.0&amp;transitionType=DocumentItem&amp;contextData=(sc.UserEnteredCitation)" TargetMode="External"/><Relationship Id="rId46" Type="http://schemas.openxmlformats.org/officeDocument/2006/relationships/hyperlink" Target="http://www.westlaw.com/Link/Document/FullText?findType=Y&amp;serNum=1941117273&amp;pubNum=0000231&amp;originatingDoc=I7061ba40d32e11e9a803cc27e5772c47&amp;refType=RP&amp;fi=co_pp_sp_231_36&amp;originationContext=document&amp;vr=3.0&amp;rs=cblt1.0&amp;transitionType=DocumentItem&amp;contextData=(sc.UserEnteredCitation)" TargetMode="External"/><Relationship Id="rId59" Type="http://schemas.openxmlformats.org/officeDocument/2006/relationships/hyperlink" Target="http://www.westlaw.com/Link/Document/FullText?findType=Y&amp;serNum=2003538765&amp;pubNum=0000506&amp;originatingDoc=I7061ba40d32e11e9a803cc27e5772c47&amp;refType=RP&amp;fi=co_pp_sp_506_931&amp;originationContext=document&amp;vr=3.0&amp;rs=cblt1.0&amp;transitionType=DocumentItem&amp;contextData=(sc.UserEnteredCitation)" TargetMode="External"/><Relationship Id="rId67" Type="http://schemas.openxmlformats.org/officeDocument/2006/relationships/hyperlink" Target="http://www.westlaw.com/Link/Document/FullText?findType=Y&amp;serNum=1989063407&amp;pubNum=0000233&amp;originatingDoc=I7061ba40d32e11e9a803cc27e5772c47&amp;refType=RP&amp;fi=co_pp_sp_233_753&amp;originationContext=document&amp;vr=3.0&amp;rs=cblt1.0&amp;transitionType=DocumentItem&amp;contextData=(sc.UserEnteredCitation)" TargetMode="External"/><Relationship Id="rId20" Type="http://schemas.openxmlformats.org/officeDocument/2006/relationships/hyperlink" Target="https://1.next.westlaw.com/Link/RelatedInformation/Flag?documentGuid=Ice5f49d2925f11d993e6d35cc61aab4a&amp;transitionType=InlineKeyCiteFlags&amp;originationContext=docHeaderFlag&amp;Rank=0&amp;contextData=(sc.UserEnteredCitation)" TargetMode="External"/><Relationship Id="rId41" Type="http://schemas.openxmlformats.org/officeDocument/2006/relationships/hyperlink" Target="https://1.next.westlaw.com/Link/RelatedInformation/Flag?documentGuid=Ia0731c8bfb0f11d9bf60c1d57ebc853e&amp;transitionType=InlineKeyCiteFlags&amp;originationContext=docHeaderFlag&amp;Rank=0&amp;contextData=(sc.UserEnteredCitation)" TargetMode="External"/><Relationship Id="rId54" Type="http://schemas.openxmlformats.org/officeDocument/2006/relationships/hyperlink" Target="http://www.westlaw.com/Link/Document/FullText?findType=Y&amp;serNum=1981108272&amp;pubNum=0000226&amp;originatingDoc=I7061ba40d32e11e9a803cc27e5772c47&amp;refType=RP&amp;fi=co_pp_sp_226_127&amp;originationContext=document&amp;vr=3.0&amp;rs=cblt1.0&amp;transitionType=DocumentItem&amp;contextData=(sc.UserEnteredCitation)" TargetMode="External"/><Relationship Id="rId62" Type="http://schemas.openxmlformats.org/officeDocument/2006/relationships/hyperlink" Target="http://www.westlaw.com/Link/Document/FullText?findType=Y&amp;serNum=2030185474&amp;pubNum=0004637&amp;originatingDoc=I7061ba40d32e11e9a803cc27e5772c47&amp;refType=RP&amp;fi=co_pp_sp_4637_563&amp;originationContext=document&amp;vr=3.0&amp;rs=cblt1.0&amp;transitionType=DocumentItem&amp;contextData=(sc.UserEnteredCitation)" TargetMode="External"/><Relationship Id="rId70" Type="http://schemas.openxmlformats.org/officeDocument/2006/relationships/hyperlink" Target="https://1.next.westlaw.com/Link/RelatedInformation/Flag?documentGuid=I6356d60ccda711dca9c2f716e0c816ba&amp;transitionType=InlineKeyCiteFlags&amp;originationContext=docHeaderFlag&amp;Rank=0&amp;contextData=(sc.UserEnteredCitation)" TargetMode="External"/><Relationship Id="rId75" Type="http://schemas.openxmlformats.org/officeDocument/2006/relationships/hyperlink" Target="http://www.westlaw.com/Link/Document/FullText?findType=l&amp;pubNum=1077005&amp;cite=UUID(IFFB435A556-F548B9AC1C3-0FB45752309)&amp;originatingDoc=I7061ba40d32e11e9a803cc27e5772c47&amp;refType=SL&amp;originationContext=document&amp;vr=3.0&amp;rs=cblt1.0&amp;transitionType=DocumentItem&amp;contextData=(sc.UserEnteredCitation)" TargetMode="External"/><Relationship Id="rId83" Type="http://schemas.openxmlformats.org/officeDocument/2006/relationships/hyperlink" Target="http://www.westlaw.com/Link/Document/FullText?findType=Y&amp;serNum=2003436229&amp;pubNum=0000999&amp;originatingDoc=I7061ba40d32e11e9a803cc27e5772c47&amp;refType=RP&amp;originationContext=document&amp;vr=3.0&amp;rs=cblt1.0&amp;transitionType=DocumentItem&amp;contextData=(sc.UserEnteredCitation)"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www.westlaw.com/Link/Document/FullText?findType=Y&amp;serNum=2018405559&amp;pubNum=0000506&amp;originatingDoc=I7061ba40d32e11e9a803cc27e5772c47&amp;refType=RP&amp;fi=co_pp_sp_506_1057&amp;originationContext=document&amp;vr=3.0&amp;rs=cblt1.0&amp;transitionType=DocumentItem&amp;contextData=(sc.UserEnteredCitation)" TargetMode="External"/><Relationship Id="rId23" Type="http://schemas.openxmlformats.org/officeDocument/2006/relationships/hyperlink" Target="https://1.next.westlaw.com/Link/RelatedInformation/Flag?documentGuid=Ib1ae5b43946211d9bc61beebb95be672&amp;transitionType=InlineKeyCiteFlags&amp;originationContext=docHeaderFlag&amp;Rank=0&amp;contextData=(sc.UserEnteredCitation)" TargetMode="External"/><Relationship Id="rId28" Type="http://schemas.openxmlformats.org/officeDocument/2006/relationships/hyperlink" Target="http://www.westlaw.com/Link/Document/FullText?findType=Y&amp;serNum=2043455574&amp;pubNum=0000506&amp;originatingDoc=I7061ba40d32e11e9a803cc27e5772c47&amp;refType=RP&amp;fi=co_pp_sp_506_713&amp;originationContext=document&amp;vr=3.0&amp;rs=cblt1.0&amp;transitionType=DocumentItem&amp;contextData=(sc.UserEnteredCitation)" TargetMode="External"/><Relationship Id="rId36" Type="http://schemas.openxmlformats.org/officeDocument/2006/relationships/hyperlink" Target="http://www.westlaw.com/Link/Document/FullText?findType=Y&amp;serNum=2028972398&amp;pubNum=0004041&amp;originatingDoc=I7061ba40d32e11e9a803cc27e5772c47&amp;refType=RP&amp;fi=co_pp_sp_4041_597&amp;originationContext=document&amp;vr=3.0&amp;rs=cblt1.0&amp;transitionType=DocumentItem&amp;contextData=(sc.UserEnteredCitation)" TargetMode="External"/><Relationship Id="rId49" Type="http://schemas.openxmlformats.org/officeDocument/2006/relationships/hyperlink" Target="https://1.next.westlaw.com/Link/RelatedInformation/Flag?documentGuid=I66653d41fad111d9b386b232635db992&amp;transitionType=InlineKeyCiteFlags&amp;originationContext=docHeaderFlag&amp;Rank=0&amp;contextData=(sc.UserEnteredCitation)" TargetMode="External"/><Relationship Id="rId57" Type="http://schemas.openxmlformats.org/officeDocument/2006/relationships/hyperlink" Target="http://www.westlaw.com/Link/Document/FullText?findType=Y&amp;serNum=1944112685&amp;pubNum=0000231&amp;originatingDoc=I7061ba40d32e11e9a803cc27e5772c47&amp;refType=RP&amp;fi=co_pp_sp_231_546&amp;originationContext=document&amp;vr=3.0&amp;rs=cblt1.0&amp;transitionType=DocumentItem&amp;contextData=(sc.UserEnteredCitation)" TargetMode="External"/><Relationship Id="rId10" Type="http://schemas.openxmlformats.org/officeDocument/2006/relationships/hyperlink" Target="http://www.westlaw.com/Link/Document/FullText?findType=L&amp;pubNum=1000217&amp;cite=CAPES502&amp;originatingDoc=I7061ba40d32e11e9a803cc27e5772c47&amp;refType=SP&amp;originationContext=document&amp;vr=3.0&amp;rs=cblt1.0&amp;transitionType=DocumentItem&amp;contextData=(sc.UserEnteredCitation)" TargetMode="External"/><Relationship Id="rId31" Type="http://schemas.openxmlformats.org/officeDocument/2006/relationships/hyperlink" Target="http://www.westlaw.com/Link/Document/FullText?findType=L&amp;pubNum=1000199&amp;cite=CABPS17200&amp;originatingDoc=I7061ba40d32e11e9a803cc27e5772c47&amp;refType=LQ&amp;originationContext=document&amp;vr=3.0&amp;rs=cblt1.0&amp;transitionType=DocumentItem&amp;contextData=(sc.UserEnteredCitation)" TargetMode="External"/><Relationship Id="rId44" Type="http://schemas.openxmlformats.org/officeDocument/2006/relationships/image" Target="media/image2.png"/><Relationship Id="rId52" Type="http://schemas.openxmlformats.org/officeDocument/2006/relationships/hyperlink" Target="http://www.westlaw.com/Link/Document/FullText?findType=Y&amp;serNum=1944112685&amp;pubNum=0000231&amp;originatingDoc=I7061ba40d32e11e9a803cc27e5772c47&amp;refType=RP&amp;fi=co_pp_sp_231_546&amp;originationContext=document&amp;vr=3.0&amp;rs=cblt1.0&amp;transitionType=DocumentItem&amp;contextData=(sc.UserEnteredCitation)" TargetMode="External"/><Relationship Id="rId60" Type="http://schemas.openxmlformats.org/officeDocument/2006/relationships/hyperlink" Target="https://1.next.westlaw.com/Link/RelatedInformation/Flag?documentGuid=I7a71ca3c92c011e2a160cacff148223f&amp;transitionType=InlineKeyCiteFlags&amp;originationContext=docHeaderFlag&amp;Rank=0&amp;contextData=(sc.UserEnteredCitation)" TargetMode="External"/><Relationship Id="rId65" Type="http://schemas.openxmlformats.org/officeDocument/2006/relationships/hyperlink" Target="http://www.westlaw.com/Link/Document/FullText?findType=Y&amp;serNum=1961108221&amp;pubNum=0000231&amp;originatingDoc=I7061ba40d32e11e9a803cc27e5772c47&amp;refType=RP&amp;fi=co_pp_sp_231_232&amp;originationContext=document&amp;vr=3.0&amp;rs=cblt1.0&amp;transitionType=DocumentItem&amp;contextData=(sc.UserEnteredCitation)" TargetMode="External"/><Relationship Id="rId73" Type="http://schemas.openxmlformats.org/officeDocument/2006/relationships/hyperlink" Target="https://1.next.westlaw.com/Link/RelatedInformation/Flag?documentGuid=NBD6EDC80185811EBBC9E8A6C109BDE6D&amp;transitionType=InlineKeyCiteFlags&amp;originationContext=docHeaderFlag&amp;Rank=0&amp;contextData=(sc.UserEnteredCitation)" TargetMode="External"/><Relationship Id="rId78" Type="http://schemas.openxmlformats.org/officeDocument/2006/relationships/hyperlink" Target="https://1.next.westlaw.com/Link/RelatedInformation/Flag?documentGuid=Id3c3927189f611d9b6ea9f5a173c4523&amp;transitionType=InlineKeyCiteFlags&amp;originationContext=docHeaderFlag&amp;Rank=0&amp;contextData=(sc.UserEnteredCitation)" TargetMode="External"/><Relationship Id="rId81" Type="http://schemas.openxmlformats.org/officeDocument/2006/relationships/hyperlink" Target="http://www.westlaw.com/Link/Document/FullText?findType=Y&amp;serNum=2004289704&amp;pubNum=0004637&amp;originatingDoc=I7061ba40d32e11e9a803cc27e5772c47&amp;refType=RP&amp;fi=co_pp_sp_4637_442&amp;originationContext=document&amp;vr=3.0&amp;rs=cblt1.0&amp;transitionType=DocumentItem&amp;contextData=(sc.UserEnteredCitation)" TargetMode="Externa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estlaw.com/Link/Document/FullText?findType=L&amp;pubNum=1000217&amp;cite=CAPES502&amp;originatingDoc=I7061ba40d32e11e9a803cc27e5772c47&amp;refType=SP&amp;originationContext=document&amp;vr=3.0&amp;rs=cblt1.0&amp;transitionType=DocumentItem&amp;contextData=(sc.UserEnteredCitation)" TargetMode="External"/><Relationship Id="rId13" Type="http://schemas.openxmlformats.org/officeDocument/2006/relationships/hyperlink" Target="http://www.westlaw.com/Link/Document/FullText?findType=Y&amp;serNum=2017439125&amp;pubNum=0000780&amp;originatingDoc=I7061ba40d32e11e9a803cc27e5772c47&amp;refType=RP&amp;fi=co_pp_sp_780_20&amp;originationContext=document&amp;vr=3.0&amp;rs=cblt1.0&amp;transitionType=DocumentItem&amp;contextData=(sc.UserEnteredCitation)" TargetMode="External"/><Relationship Id="rId18" Type="http://schemas.openxmlformats.org/officeDocument/2006/relationships/hyperlink" Target="http://www.westlaw.com/Link/Document/FullText?findType=Y&amp;serNum=2024453767&amp;pubNum=0000506&amp;originatingDoc=I7061ba40d32e11e9a803cc27e5772c47&amp;refType=RP&amp;fi=co_pp_sp_506_1135&amp;originationContext=document&amp;vr=3.0&amp;rs=cblt1.0&amp;transitionType=DocumentItem&amp;contextData=(sc.UserEnteredCitation)" TargetMode="External"/><Relationship Id="rId39" Type="http://schemas.openxmlformats.org/officeDocument/2006/relationships/hyperlink" Target="http://www.westlaw.com/Link/Document/FullText?findType=Y&amp;serNum=1998179594&amp;pubNum=0004040&amp;originatingDoc=I7061ba40d32e11e9a803cc27e5772c47&amp;refType=RP&amp;originationContext=document&amp;vr=3.0&amp;rs=cblt1.0&amp;transitionType=DocumentItem&amp;contextData=(sc.UserEnteredCitation)" TargetMode="External"/><Relationship Id="rId34" Type="http://schemas.openxmlformats.org/officeDocument/2006/relationships/hyperlink" Target="http://www.westlaw.com/Link/Document/FullText?findType=Y&amp;serNum=1990090448&amp;pubNum=0000233&amp;originatingDoc=I7061ba40d32e11e9a803cc27e5772c47&amp;refType=RP&amp;fi=co_pp_sp_233_1126&amp;originationContext=document&amp;vr=3.0&amp;rs=cblt1.0&amp;transitionType=DocumentItem&amp;contextData=(sc.UserEnteredCitation)" TargetMode="External"/><Relationship Id="rId50" Type="http://schemas.openxmlformats.org/officeDocument/2006/relationships/hyperlink" Target="http://www.westlaw.com/Link/Document/FullText?findType=Y&amp;serNum=1961108837&amp;pubNum=0000231&amp;originatingDoc=I7061ba40d32e11e9a803cc27e5772c47&amp;refType=RP&amp;fi=co_pp_sp_231_206&amp;originationContext=document&amp;vr=3.0&amp;rs=cblt1.0&amp;transitionType=DocumentItem&amp;contextData=(sc.UserEnteredCitation)" TargetMode="External"/><Relationship Id="rId55" Type="http://schemas.openxmlformats.org/officeDocument/2006/relationships/hyperlink" Target="https://1.next.westlaw.com/Link/RelatedInformation/Flag?documentGuid=I36e581affadc11d983e7e9deff98dc6f&amp;transitionType=InlineKeyCiteFlags&amp;originationContext=docHeaderFlag&amp;Rank=0&amp;contextData=(sc.UserEnteredCitation)" TargetMode="External"/><Relationship Id="rId76" Type="http://schemas.openxmlformats.org/officeDocument/2006/relationships/hyperlink" Target="https://1.next.westlaw.com/Link/RelatedInformation/Flag?documentGuid=Ide1c4a1b53cc11d9a99c85a9e6023ffa&amp;transitionType=InlineKeyCiteFlags&amp;originationContext=docHeaderFlag&amp;Rank=0&amp;contextData=(sc.UserEnteredCitation)" TargetMode="External"/><Relationship Id="rId7" Type="http://schemas.openxmlformats.org/officeDocument/2006/relationships/footer" Target="footer1.xml"/><Relationship Id="rId71" Type="http://schemas.openxmlformats.org/officeDocument/2006/relationships/hyperlink" Target="http://www.westlaw.com/Link/Document/FullText?findType=Y&amp;serNum=2014902515&amp;pubNum=0004040&amp;originatingDoc=I7061ba40d32e11e9a803cc27e5772c47&amp;refType=RP&amp;fi=co_pp_sp_4040_996&amp;originationContext=document&amp;vr=3.0&amp;rs=cblt1.0&amp;transitionType=DocumentItem&amp;contextData=(sc.UserEnteredCitation)" TargetMode="External"/><Relationship Id="rId2" Type="http://schemas.openxmlformats.org/officeDocument/2006/relationships/settings" Target="settings.xml"/><Relationship Id="rId29" Type="http://schemas.openxmlformats.org/officeDocument/2006/relationships/hyperlink" Target="http://www.westlaw.com/Link/Document/FullText?findType=Y&amp;serNum=2024453767&amp;pubNum=0000506&amp;originatingDoc=I7061ba40d32e11e9a803cc27e5772c47&amp;refType=RP&amp;fi=co_pp_sp_506_1131&amp;originationContext=document&amp;vr=3.0&amp;rs=cblt1.0&amp;transitionType=DocumentItem&amp;contextData=(sc.UserEnteredCitation)" TargetMode="External"/><Relationship Id="rId24" Type="http://schemas.openxmlformats.org/officeDocument/2006/relationships/hyperlink" Target="http://www.westlaw.com/Link/Document/FullText?findType=Y&amp;serNum=1984157001&amp;pubNum=0000350&amp;originatingDoc=I7061ba40d32e11e9a803cc27e5772c47&amp;refType=RP&amp;fi=co_pp_sp_350_125&amp;originationContext=document&amp;vr=3.0&amp;rs=cblt1.0&amp;transitionType=DocumentItem&amp;contextData=(sc.UserEnteredCitation)" TargetMode="External"/><Relationship Id="rId40" Type="http://schemas.openxmlformats.org/officeDocument/2006/relationships/hyperlink" Target="http://www.westlaw.com/Link/Document/FullText?findType=Y&amp;serNum=1998179594&amp;pubNum=0000661&amp;originatingDoc=I7061ba40d32e11e9a803cc27e5772c47&amp;refType=RP&amp;originationContext=document&amp;vr=3.0&amp;rs=cblt1.0&amp;transitionType=DocumentItem&amp;contextData=(sc.UserEnteredCitation)" TargetMode="External"/><Relationship Id="rId45" Type="http://schemas.openxmlformats.org/officeDocument/2006/relationships/hyperlink" Target="http://www.westlaw.com/Link/Document/FullText?findType=Y&amp;serNum=1995204188&amp;pubNum=0004040&amp;originatingDoc=I7061ba40d32e11e9a803cc27e5772c47&amp;refType=RP&amp;fi=co_pp_sp_4040_392&amp;originationContext=document&amp;vr=3.0&amp;rs=cblt1.0&amp;transitionType=DocumentItem&amp;contextData=(sc.UserEnteredCitation)" TargetMode="External"/><Relationship Id="rId66" Type="http://schemas.openxmlformats.org/officeDocument/2006/relationships/hyperlink" Target="https://1.next.westlaw.com/Link/RelatedInformation/Flag?documentGuid=I104ed457fab011d98ac8f235252e36df&amp;transitionType=InlineKeyCiteFlags&amp;originationContext=docHeaderFlag&amp;Rank=0&amp;contextData=(sc.UserEnteredCitation)" TargetMode="External"/><Relationship Id="rId87" Type="http://schemas.openxmlformats.org/officeDocument/2006/relationships/theme" Target="theme/theme1.xml"/><Relationship Id="rId61" Type="http://schemas.openxmlformats.org/officeDocument/2006/relationships/hyperlink" Target="http://www.westlaw.com/Link/Document/FullText?findType=Y&amp;serNum=2030185474&amp;pubNum=0004637&amp;originatingDoc=I7061ba40d32e11e9a803cc27e5772c47&amp;refType=RP&amp;fi=co_pp_sp_4637_544&amp;originationContext=document&amp;vr=3.0&amp;rs=cblt1.0&amp;transitionType=DocumentItem&amp;contextData=(sc.UserEnteredCitation)" TargetMode="External"/><Relationship Id="rId82" Type="http://schemas.openxmlformats.org/officeDocument/2006/relationships/hyperlink" Target="https://1.next.westlaw.com/Link/RelatedInformation/Flag?documentGuid=I0470eabc540c11d9a99c85a9e6023ffa&amp;transitionType=InlineKeyCiteFlags&amp;originationContext=docHeaderFlag&amp;Rank=0&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9009</Words>
  <Characters>51356</Characters>
  <Application>Microsoft Office Word</Application>
  <DocSecurity>0</DocSecurity>
  <Lines>427</Lines>
  <Paragraphs>120</Paragraphs>
  <ScaleCrop>false</ScaleCrop>
  <Company/>
  <LinksUpToDate>false</LinksUpToDate>
  <CharactersWithSpaces>60245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4</cp:revision>
  <dcterms:created xsi:type="dcterms:W3CDTF">2020-12-19T22:36:00Z</dcterms:created>
  <dcterms:modified xsi:type="dcterms:W3CDTF">2020-12-20T21:12:00Z</dcterms:modified>
</cp:coreProperties>
</file>