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48BB4" w14:textId="77777777" w:rsidR="00936401" w:rsidRPr="005313FF" w:rsidRDefault="00936401" w:rsidP="00936401">
      <w:pPr>
        <w:widowControl w:val="0"/>
        <w:autoSpaceDE w:val="0"/>
        <w:autoSpaceDN w:val="0"/>
        <w:adjustRightInd w:val="0"/>
        <w:jc w:val="center"/>
        <w:outlineLvl w:val="0"/>
        <w:rPr>
          <w:rFonts w:ascii="Verdana" w:hAnsi="Verdana"/>
          <w:color w:val="000000" w:themeColor="text1"/>
          <w:sz w:val="22"/>
          <w:szCs w:val="22"/>
        </w:rPr>
      </w:pPr>
      <w:bookmarkStart w:id="0" w:name="_Toc33081440"/>
      <w:proofErr w:type="spellStart"/>
      <w:r w:rsidRPr="005313FF">
        <w:rPr>
          <w:rFonts w:ascii="Verdana" w:hAnsi="Verdana"/>
          <w:color w:val="000000" w:themeColor="text1"/>
          <w:sz w:val="22"/>
          <w:szCs w:val="22"/>
        </w:rPr>
        <w:t>Badie</w:t>
      </w:r>
      <w:proofErr w:type="spellEnd"/>
      <w:r w:rsidRPr="005313FF">
        <w:rPr>
          <w:rFonts w:ascii="Verdana" w:hAnsi="Verdana"/>
          <w:color w:val="000000" w:themeColor="text1"/>
          <w:sz w:val="22"/>
          <w:szCs w:val="22"/>
        </w:rPr>
        <w:t xml:space="preserve"> v. Bank of America</w:t>
      </w:r>
      <w:bookmarkEnd w:id="0"/>
    </w:p>
    <w:p w14:paraId="1AE0474B" w14:textId="77777777" w:rsidR="00936401" w:rsidRPr="005313FF" w:rsidRDefault="00936401" w:rsidP="00936401">
      <w:pPr>
        <w:widowControl w:val="0"/>
        <w:autoSpaceDE w:val="0"/>
        <w:autoSpaceDN w:val="0"/>
        <w:adjustRightInd w:val="0"/>
        <w:jc w:val="center"/>
        <w:rPr>
          <w:rFonts w:ascii="Verdana" w:hAnsi="Verdana"/>
          <w:color w:val="000000" w:themeColor="text1"/>
          <w:sz w:val="22"/>
          <w:szCs w:val="22"/>
        </w:rPr>
      </w:pPr>
      <w:r w:rsidRPr="005313FF">
        <w:rPr>
          <w:rFonts w:ascii="Verdana" w:hAnsi="Verdana"/>
          <w:color w:val="000000" w:themeColor="text1"/>
          <w:sz w:val="22"/>
          <w:szCs w:val="22"/>
        </w:rPr>
        <w:t>67 Cal.App.4th 779 (1998)</w:t>
      </w:r>
    </w:p>
    <w:p w14:paraId="291BC5FD"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p>
    <w:p w14:paraId="2987482A"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bCs/>
          <w:color w:val="000000" w:themeColor="text1"/>
          <w:sz w:val="22"/>
          <w:szCs w:val="22"/>
        </w:rPr>
        <w:t>PHELAN, P. J.</w:t>
      </w:r>
    </w:p>
    <w:p w14:paraId="45E83126"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p>
    <w:p w14:paraId="77B259FD"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 . . </w:t>
      </w:r>
    </w:p>
    <w:p w14:paraId="1033414A"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p>
    <w:p w14:paraId="195C6976"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i/>
          <w:iCs/>
          <w:color w:val="000000" w:themeColor="text1"/>
          <w:sz w:val="22"/>
          <w:szCs w:val="22"/>
        </w:rPr>
        <w:t>Perdue</w:t>
      </w:r>
      <w:r w:rsidRPr="005313FF">
        <w:rPr>
          <w:rFonts w:ascii="Verdana" w:hAnsi="Verdana"/>
          <w:color w:val="000000" w:themeColor="text1"/>
          <w:sz w:val="22"/>
          <w:szCs w:val="22"/>
        </w:rPr>
        <w:t xml:space="preserve"> [Perdue v. Crocker National Bank, see above] does . . . underscore the importance of the duty imposed on one having the discretionary power to affect the rights of the other party to exercise that power in a manner consistent with the covenant of good faith and fair dealing. Abuse of the power to specify terms is one of the judicially recognized types of bad faith. While </w:t>
      </w:r>
      <w:r w:rsidRPr="005313FF">
        <w:rPr>
          <w:rFonts w:ascii="Verdana" w:hAnsi="Verdana"/>
          <w:i/>
          <w:iCs/>
          <w:color w:val="000000" w:themeColor="text1"/>
          <w:sz w:val="22"/>
          <w:szCs w:val="22"/>
        </w:rPr>
        <w:t>Perdue</w:t>
      </w:r>
      <w:r w:rsidRPr="005313FF">
        <w:rPr>
          <w:rFonts w:ascii="Verdana" w:hAnsi="Verdana"/>
          <w:color w:val="000000" w:themeColor="text1"/>
          <w:sz w:val="22"/>
          <w:szCs w:val="22"/>
        </w:rPr>
        <w:t xml:space="preserve"> indicated that the bank's increase in NSF check fees was to be evaluated under the “... duty of good faith and fair dealing in setting or varying such charges”, other cases make it clear that the </w:t>
      </w:r>
      <w:r w:rsidRPr="005313FF">
        <w:rPr>
          <w:rFonts w:ascii="Verdana" w:hAnsi="Verdana"/>
          <w:i/>
          <w:iCs/>
          <w:color w:val="000000" w:themeColor="text1"/>
          <w:sz w:val="22"/>
          <w:szCs w:val="22"/>
        </w:rPr>
        <w:t>exercise</w:t>
      </w:r>
      <w:r w:rsidRPr="005313FF">
        <w:rPr>
          <w:rFonts w:ascii="Verdana" w:hAnsi="Verdana"/>
          <w:color w:val="000000" w:themeColor="text1"/>
          <w:sz w:val="22"/>
          <w:szCs w:val="22"/>
        </w:rPr>
        <w:t xml:space="preserve"> of discretionary powers conferred on a party by contract must also be evaluated under the implied covenant to assure that the promises of the contract are effective and in accordance with the parties' legitimate expectations . . . Thus, the trial court's conclusion that the Bank's modification of the account agreements satisfied the covenant of good faith and fair dealing because “[t]he ADR clause does not operate to deprive the customer of expected or bargained-for benefits of his or her agreement” does not withstand scrutiny. The court's focus on the ADR clause, standing alone, was misplaced: It is the Bank's exercise of its discretionary right to change the agreement, not the ADR clause in and of itself, which must first be analyzed in terms of the implied covenant. If the Bank's performance under the change of terms provision was not consonant with the duty of good faith and fair dealing, then whether the ADR clause, considered in isolation, satisfies the implied covenant makes no difference.</w:t>
      </w:r>
    </w:p>
    <w:p w14:paraId="0946827A"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“The essence of the good faith covenant is objectively reasonable conduct.” (</w:t>
      </w:r>
      <w:r w:rsidRPr="005313FF">
        <w:rPr>
          <w:rFonts w:ascii="Verdana" w:hAnsi="Verdana"/>
          <w:i/>
          <w:iCs/>
          <w:color w:val="000000" w:themeColor="text1"/>
          <w:sz w:val="22"/>
          <w:szCs w:val="22"/>
        </w:rPr>
        <w:t>Lazar v. Hertz Corp.</w:t>
      </w:r>
      <w:r w:rsidRPr="005313FF">
        <w:rPr>
          <w:rFonts w:ascii="Verdana" w:hAnsi="Verdana"/>
          <w:color w:val="000000" w:themeColor="text1"/>
          <w:sz w:val="22"/>
          <w:szCs w:val="22"/>
        </w:rPr>
        <w:t xml:space="preserve"> (1983) 143 Cal.App.3d) “[T]he </w:t>
      </w:r>
      <w:proofErr w:type="gramStart"/>
      <w:r w:rsidRPr="005313FF">
        <w:rPr>
          <w:rFonts w:ascii="Verdana" w:hAnsi="Verdana"/>
          <w:color w:val="000000" w:themeColor="text1"/>
          <w:sz w:val="22"/>
          <w:szCs w:val="22"/>
        </w:rPr>
        <w:t>covenant</w:t>
      </w:r>
      <w:proofErr w:type="gramEnd"/>
      <w:r w:rsidRPr="005313FF">
        <w:rPr>
          <w:rFonts w:ascii="Verdana" w:hAnsi="Verdana"/>
          <w:color w:val="000000" w:themeColor="text1"/>
          <w:sz w:val="22"/>
          <w:szCs w:val="22"/>
        </w:rPr>
        <w:t xml:space="preserve"> of good faith can be breached for objectively unreasonable conduct, regardless of the actor's motive.” (</w:t>
      </w:r>
      <w:r w:rsidRPr="005313FF">
        <w:rPr>
          <w:rFonts w:ascii="Verdana" w:hAnsi="Verdana"/>
          <w:i/>
          <w:iCs/>
          <w:color w:val="000000" w:themeColor="text1"/>
          <w:sz w:val="22"/>
          <w:szCs w:val="22"/>
        </w:rPr>
        <w:t>Carma Developers (Cal.), Inc. v. Marathon Development California, Inc.</w:t>
      </w:r>
      <w:r w:rsidRPr="005313FF">
        <w:rPr>
          <w:rFonts w:ascii="Verdana" w:hAnsi="Verdana"/>
          <w:color w:val="000000" w:themeColor="text1"/>
          <w:sz w:val="22"/>
          <w:szCs w:val="22"/>
        </w:rPr>
        <w:t xml:space="preserve">, 2 Cal.4th at p. 373.) One commentor has suggested that good faith performance of the discretionary power to affect the other party's rights requires the party holding such power to exercise it “for any purpose within the reasonable contemplation of the parties at the time of [contract] formation-to capture opportunities that were preserved upon entering the contract, interpreted objectively,” and that, conversely, breach of the covenant occurs when the discretionary power is used to “recapture opportunities foregone” when the contract was entered into. (Burton, </w:t>
      </w:r>
      <w:r w:rsidRPr="005313FF">
        <w:rPr>
          <w:rFonts w:ascii="Verdana" w:hAnsi="Verdana"/>
          <w:i/>
          <w:iCs/>
          <w:color w:val="000000" w:themeColor="text1"/>
          <w:sz w:val="22"/>
          <w:szCs w:val="22"/>
        </w:rPr>
        <w:t>Breach of Contract and the Common Law Duty to Perform in Good Faith</w:t>
      </w:r>
      <w:r w:rsidRPr="005313FF">
        <w:rPr>
          <w:rFonts w:ascii="Verdana" w:hAnsi="Verdana"/>
          <w:color w:val="000000" w:themeColor="text1"/>
          <w:sz w:val="22"/>
          <w:szCs w:val="22"/>
        </w:rPr>
        <w:t xml:space="preserve"> (1980) 94 </w:t>
      </w:r>
      <w:proofErr w:type="spellStart"/>
      <w:r w:rsidRPr="005313FF">
        <w:rPr>
          <w:rFonts w:ascii="Verdana" w:hAnsi="Verdana"/>
          <w:color w:val="000000" w:themeColor="text1"/>
          <w:sz w:val="22"/>
          <w:szCs w:val="22"/>
        </w:rPr>
        <w:t>Harv.L.Rev</w:t>
      </w:r>
      <w:proofErr w:type="spellEnd"/>
      <w:r w:rsidRPr="005313FF">
        <w:rPr>
          <w:rFonts w:ascii="Verdana" w:hAnsi="Verdana"/>
          <w:color w:val="000000" w:themeColor="text1"/>
          <w:sz w:val="22"/>
          <w:szCs w:val="22"/>
        </w:rPr>
        <w:t>. 369, 373, fn. omitted, 387) Where, as in this case, a party has the unilateral right to change the terms of a contract, it does not act in an “objectively reasonable” manner (</w:t>
      </w:r>
      <w:r w:rsidRPr="005313FF">
        <w:rPr>
          <w:rFonts w:ascii="Verdana" w:hAnsi="Verdana"/>
          <w:i/>
          <w:iCs/>
          <w:color w:val="000000" w:themeColor="text1"/>
          <w:sz w:val="22"/>
          <w:szCs w:val="22"/>
        </w:rPr>
        <w:t>Lazar v. Hertz Corp.</w:t>
      </w:r>
      <w:r w:rsidRPr="005313FF">
        <w:rPr>
          <w:rFonts w:ascii="Verdana" w:hAnsi="Verdana"/>
          <w:color w:val="000000" w:themeColor="text1"/>
          <w:sz w:val="22"/>
          <w:szCs w:val="22"/>
        </w:rPr>
        <w:t xml:space="preserve">, </w:t>
      </w:r>
      <w:r w:rsidRPr="005313FF">
        <w:rPr>
          <w:rFonts w:ascii="Verdana" w:hAnsi="Verdana"/>
          <w:i/>
          <w:iCs/>
          <w:color w:val="000000" w:themeColor="text1"/>
          <w:sz w:val="22"/>
          <w:szCs w:val="22"/>
        </w:rPr>
        <w:t>supra</w:t>
      </w:r>
      <w:r w:rsidRPr="005313FF">
        <w:rPr>
          <w:rFonts w:ascii="Verdana" w:hAnsi="Verdana"/>
          <w:color w:val="000000" w:themeColor="text1"/>
          <w:sz w:val="22"/>
          <w:szCs w:val="22"/>
        </w:rPr>
        <w:t>, 143 Cal.App.3d at p. 141) when it attempts to “recapture” a forgone opportunity by adding an entirely new term which has no bearing on any subject, issue, right, or obligation addressed in the original contract and which was not within the reasonable contemplation of the parties when the contract was entered into. That is particularly true where the new term deprives the other party of the right to a jury trial and the right to select a judicial forum for dispute resolution.</w:t>
      </w:r>
    </w:p>
    <w:p w14:paraId="7108350B"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lastRenderedPageBreak/>
        <w:t xml:space="preserve">Here, the Bank reserved to itself the unilateral and nonnegotiable right to vary every aspect of the performance required by the parties to the account agreements. The Bank's interpretation of how broadly it may exercise that right, with no limitation on the substantive nature of the changes it may make as long as it complies with the de minimis procedural requirement of “notice,” virtually eliminates the good faith and fair dealing requirement from the Bank's relationship with its credit account customers, and is thus antithetical to </w:t>
      </w:r>
      <w:r w:rsidRPr="005313FF">
        <w:rPr>
          <w:rFonts w:ascii="Verdana" w:hAnsi="Verdana"/>
          <w:i/>
          <w:iCs/>
          <w:color w:val="000000" w:themeColor="text1"/>
          <w:sz w:val="22"/>
          <w:szCs w:val="22"/>
        </w:rPr>
        <w:t>Perdue</w:t>
      </w:r>
      <w:r w:rsidRPr="005313FF">
        <w:rPr>
          <w:rFonts w:ascii="Verdana" w:hAnsi="Verdana"/>
          <w:color w:val="000000" w:themeColor="text1"/>
          <w:sz w:val="22"/>
          <w:szCs w:val="22"/>
        </w:rPr>
        <w:t xml:space="preserve">, not consistent with it, as the Bank claims. In short, we conclude the trial court erred in deciding that the implied covenant of good faith and fair dealing had been satisfied by the Bank in its performance under the change of terms provision. </w:t>
      </w:r>
    </w:p>
    <w:p w14:paraId="62E7E613"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Moreover, permitting the Bank to exercise its unilateral rights under the change of terms provision, without any limitation on the substantive nature of the change permitted, would open the door to a claim that the agreements are illusory. As a general rule, </w:t>
      </w:r>
      <w:proofErr w:type="gramStart"/>
      <w:r w:rsidRPr="005313FF">
        <w:rPr>
          <w:rFonts w:ascii="Verdana" w:hAnsi="Verdana"/>
          <w:color w:val="000000" w:themeColor="text1"/>
          <w:sz w:val="22"/>
          <w:szCs w:val="22"/>
        </w:rPr>
        <w:t>“ '</w:t>
      </w:r>
      <w:proofErr w:type="gramEnd"/>
      <w:r w:rsidRPr="005313FF">
        <w:rPr>
          <w:rFonts w:ascii="Verdana" w:hAnsi="Verdana"/>
          <w:color w:val="000000" w:themeColor="text1"/>
          <w:sz w:val="22"/>
          <w:szCs w:val="22"/>
        </w:rPr>
        <w:t>[a]n agreement that provides that the price to be paid, or other performance to be rendered, shall be left to the will and discretion of one of the parties is not enforceable.... But the fact that one of the parties reserves the power of varying the price or other performance is not fatal [i.e., does not render the contract illusory and unenforceable] if the exercise of this power is subject to prescribed or implied limitations, as that the variation must be in proportion to some objectively determined base or must be reasonable.</w:t>
      </w:r>
      <w:proofErr w:type="gramStart"/>
      <w:r w:rsidRPr="005313FF">
        <w:rPr>
          <w:rFonts w:ascii="Verdana" w:hAnsi="Verdana"/>
          <w:color w:val="000000" w:themeColor="text1"/>
          <w:sz w:val="22"/>
          <w:szCs w:val="22"/>
        </w:rPr>
        <w:t>' ”</w:t>
      </w:r>
      <w:proofErr w:type="gramEnd"/>
      <w:r w:rsidRPr="005313FF">
        <w:rPr>
          <w:rFonts w:ascii="Verdana" w:hAnsi="Verdana"/>
          <w:color w:val="000000" w:themeColor="text1"/>
          <w:sz w:val="22"/>
          <w:szCs w:val="22"/>
        </w:rPr>
        <w:t xml:space="preserve"> (</w:t>
      </w:r>
      <w:r w:rsidRPr="005313FF">
        <w:rPr>
          <w:rFonts w:ascii="Verdana" w:hAnsi="Verdana"/>
          <w:i/>
          <w:iCs/>
          <w:color w:val="000000" w:themeColor="text1"/>
          <w:sz w:val="22"/>
          <w:szCs w:val="22"/>
        </w:rPr>
        <w:t>Automatic Vending Co. v. Wisdom</w:t>
      </w:r>
      <w:r w:rsidRPr="005313FF">
        <w:rPr>
          <w:rFonts w:ascii="Verdana" w:hAnsi="Verdana"/>
          <w:color w:val="000000" w:themeColor="text1"/>
          <w:sz w:val="22"/>
          <w:szCs w:val="22"/>
        </w:rPr>
        <w:t xml:space="preserve"> (1960) 182 Cal.App.2d 354, 357) (3c) Here, the “objectively determined base” which, in addition to the implied covenant of good faith and fair dealing, supplies an implied limitation on the change of term provision is the universe of terms included in the original agreements. As we will later conclude, the ADR provision is not in that universe.</w:t>
      </w:r>
    </w:p>
    <w:p w14:paraId="75724323"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Thus, we return to our starting point: What did the Bank's customers consent to when they agreed that the Bank could unilaterally change the terms of their account agreements? </w:t>
      </w:r>
    </w:p>
    <w:p w14:paraId="3B86868F"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p>
    <w:p w14:paraId="32E4E4B5"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 . . without a threshold determination of what the parties intended when they agreed that the Bank could change the “terms” of the account agreement, the validity of the ADR clause cannot be properly assessed. In order to make that determination, we must apply the standard statutory rules of contract interpretation in order to ascertain the mutual intention of the parties as it existed at the time the original account agreements were entered into. </w:t>
      </w:r>
    </w:p>
    <w:p w14:paraId="1226B58B"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p>
    <w:p w14:paraId="720F5B67"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3. </w:t>
      </w:r>
      <w:r w:rsidRPr="005313FF">
        <w:rPr>
          <w:rFonts w:ascii="Verdana" w:hAnsi="Verdana"/>
          <w:i/>
          <w:iCs/>
          <w:color w:val="000000" w:themeColor="text1"/>
          <w:sz w:val="22"/>
          <w:szCs w:val="22"/>
        </w:rPr>
        <w:t>Application of the Standard Rules of Contract Interpretation Demonstrates That the Customers' Consent to Allow the Bank to Change the Terms of the Credit Account Agreement Did Not Constitute Consent to Addition of an ADR Clause by a Unilateral Notice.</w:t>
      </w:r>
    </w:p>
    <w:p w14:paraId="52326A50"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When a dispute arises over the meaning of contract language, the court must decide whether the language is “reasonably susceptible” to the interpretations urged by the parties . . .</w:t>
      </w:r>
    </w:p>
    <w:p w14:paraId="73256E7A"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 . . As noted, the Bank contends the change of terms provision authorizes any modification whatsoever, as long as the procedure set forth in the account agreements is followed, while plaintiffs contend there are substantive limitations on the kinds of changes authorized by the provision. We first address the language of the credit account agreement itself to determine whether it is reasonably </w:t>
      </w:r>
      <w:r w:rsidRPr="005313FF">
        <w:rPr>
          <w:rFonts w:ascii="Verdana" w:hAnsi="Verdana"/>
          <w:color w:val="000000" w:themeColor="text1"/>
          <w:sz w:val="22"/>
          <w:szCs w:val="22"/>
        </w:rPr>
        <w:lastRenderedPageBreak/>
        <w:t>susceptible to either or both of these competing interpretations.</w:t>
      </w:r>
    </w:p>
    <w:p w14:paraId="7E0C4257"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Customers who opened a credit account with the Bank first encountered the change of terms provision in either the credit card application or the “Acceptance Certificate” included in a direct mail solicitation. The only “terms” actually set forth in these documents pertain to percentage rates for purchases, various fees, the method of computing balances, and the grace period. However, the application and acceptance certificate also indicated that by signing, the applicant agreed to be bound by the “terms and conditions of the agreement and disclosure statement” that would be sent to the applicant with his cards.</w:t>
      </w:r>
    </w:p>
    <w:p w14:paraId="375A05E8"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The credit account agreement and disclosure statements admitted into evidence at trial are all pamphlets about seven pages long. As we have pointed out, they set forth detailed information about purchases and cash advances, credit limits, finance charges, membership fees, late charges and other fees, calculation of balances and finance charges, payments, and the procedure for notifying the Bank of suspected errors on the bill as well as the Bank's obligations in the event a suspected error is reported. Also included in each agreement is a section headed “Other Important Information.” It recites that the Bank does not have a security interest in purchases charged to the card or other property belonging to the customer, that the Bank requires the customer to sign the card upon receipt, that notices will be sent only to the first person listed on the account, that the customer must inform the Bank of changes in personal information and must report lost or stolen cards, that payment must be made in United States currency, that the customer may apply for credit insurance, that the Bank provides information to outside merchants for promotional offers, that the Bank may obtain and release credit information regarding the customer, that the Bank may close an account at any time or suspend credit privileges, that the Bank does not waive its right to full payment by accepting checks or letters marked “payment in full,” that customers' telephone conversations with the Bank may be monitored, that the agreement is covered by California law and applicable federal law, and also describes foreign currency transactions and what constitutes default. Also included, about two-thirds of the way into the “Other Important Terms” section, is the “Change of Terms” provision, which states that the Bank may change any “term, condition, service or feature” of a customer's credit account. Importantly, no “term, condition, service, or feature” in the original credit account agreement addressed the method or forum for resolving legal claims related to customer accounts.</w:t>
      </w:r>
    </w:p>
    <w:p w14:paraId="13A16A54"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Based solely on the language of the credit account agreement, we cannot conclude that either party's interpretation of the change of terms provision is clearly untenable. Although the Bank's interpretation is supported by the fact that the change of terms provision is broadly worded and contains no express limitation on its application, plaintiffs' narrower interpretation is supported by the fact that all the terms, conditions, services and features discussed in the original agreements pertain to matters that are integral to the Bank/creditor relationship, whereas the method and forum for dispute resolution-a matter which is collateral to that relationship-is not discussed at all.</w:t>
      </w:r>
    </w:p>
    <w:p w14:paraId="3278D236"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 . .  As discussed above, the change of terms provision is employed in the context of consumer credit agreements between the Bank and its customers. All the provisions of the original credit account agreements concerned matters that were integral to that relationship. In this context, there is nothing about the original </w:t>
      </w:r>
      <w:r w:rsidRPr="005313FF">
        <w:rPr>
          <w:rFonts w:ascii="Verdana" w:hAnsi="Verdana"/>
          <w:color w:val="000000" w:themeColor="text1"/>
          <w:sz w:val="22"/>
          <w:szCs w:val="22"/>
        </w:rPr>
        <w:lastRenderedPageBreak/>
        <w:t xml:space="preserve">terms that would have alerted a customer to the possibility that the Bank might one day in the future invoke the change of terms provision to add a clause that would allow it to </w:t>
      </w:r>
      <w:r w:rsidRPr="005313FF">
        <w:rPr>
          <w:rFonts w:ascii="Verdana" w:hAnsi="Verdana"/>
          <w:i/>
          <w:iCs/>
          <w:color w:val="000000" w:themeColor="text1"/>
          <w:sz w:val="22"/>
          <w:szCs w:val="22"/>
        </w:rPr>
        <w:t>impose</w:t>
      </w:r>
      <w:r w:rsidRPr="005313FF">
        <w:rPr>
          <w:rFonts w:ascii="Verdana" w:hAnsi="Verdana"/>
          <w:color w:val="000000" w:themeColor="text1"/>
          <w:sz w:val="22"/>
          <w:szCs w:val="22"/>
        </w:rPr>
        <w:t xml:space="preserve"> ADR on the customer</w:t>
      </w:r>
      <w:proofErr w:type="gramStart"/>
      <w:r w:rsidRPr="005313FF">
        <w:rPr>
          <w:rFonts w:ascii="Verdana" w:hAnsi="Verdana"/>
          <w:color w:val="000000" w:themeColor="text1"/>
          <w:sz w:val="22"/>
          <w:szCs w:val="22"/>
        </w:rPr>
        <w:t>. . . .</w:t>
      </w:r>
      <w:proofErr w:type="gramEnd"/>
    </w:p>
    <w:p w14:paraId="60253636"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Our focus is on whether the words of the original account agreements mean that the Bank's customers, by agreeing to a unilateral change of terms provision, intended to give the Bank the power in the future to terminate its customers' existing right to have disputes resolved in the civil justice system, including their constitutionally based right to a jury trial. In our view, the object, nature and subject matter of these agreements strongly support the conclusion that the customers did not so intend, and that they, as promisors with respect to the change of terms provision, had no inkling that the Bank understood the provision differently. In short, the original agreements do not suggest that ADR was one of “those things concerning which ... the parties intended to contract” (Civ. Code, § 1648). </w:t>
      </w:r>
    </w:p>
    <w:p w14:paraId="0E9D923B"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 . Further, . . . we resort to the rule that ambiguous contract language must be interpreted most strongly against the party who prepared it (Civ. Code, § 1654), a rule that applies with particular force to the interpretation of contracts of adhesion, like the account agreements here</w:t>
      </w:r>
      <w:proofErr w:type="gramStart"/>
      <w:r w:rsidRPr="005313FF">
        <w:rPr>
          <w:rFonts w:ascii="Verdana" w:hAnsi="Verdana"/>
          <w:color w:val="000000" w:themeColor="text1"/>
          <w:sz w:val="22"/>
          <w:szCs w:val="22"/>
        </w:rPr>
        <w:t>. . . .</w:t>
      </w:r>
      <w:proofErr w:type="gramEnd"/>
      <w:r w:rsidRPr="005313FF">
        <w:rPr>
          <w:rFonts w:ascii="Verdana" w:hAnsi="Verdana"/>
          <w:color w:val="000000" w:themeColor="text1"/>
          <w:sz w:val="22"/>
          <w:szCs w:val="22"/>
        </w:rPr>
        <w:t xml:space="preserve">  Application of this rule strengthens our conviction that the parties did not intend that the change of terms provision should permit the Bank to add new contract terms that differ </w:t>
      </w:r>
      <w:r w:rsidRPr="005313FF">
        <w:rPr>
          <w:rFonts w:ascii="Verdana" w:hAnsi="Verdana"/>
          <w:i/>
          <w:iCs/>
          <w:color w:val="000000" w:themeColor="text1"/>
          <w:sz w:val="22"/>
          <w:szCs w:val="22"/>
        </w:rPr>
        <w:t>in kind</w:t>
      </w:r>
      <w:r w:rsidRPr="005313FF">
        <w:rPr>
          <w:rFonts w:ascii="Verdana" w:hAnsi="Verdana"/>
          <w:color w:val="000000" w:themeColor="text1"/>
          <w:sz w:val="22"/>
          <w:szCs w:val="22"/>
        </w:rPr>
        <w:t xml:space="preserve"> from the terms and conditions included in the original agreements.</w:t>
      </w:r>
    </w:p>
    <w:p w14:paraId="4DFFA864"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xml:space="preserve">To reach the contrary conclusion, i.e., that the original account agreements </w:t>
      </w:r>
      <w:r w:rsidRPr="005313FF">
        <w:rPr>
          <w:rFonts w:ascii="Verdana" w:hAnsi="Verdana"/>
          <w:i/>
          <w:iCs/>
          <w:color w:val="000000" w:themeColor="text1"/>
          <w:sz w:val="22"/>
          <w:szCs w:val="22"/>
        </w:rPr>
        <w:t>did</w:t>
      </w:r>
      <w:r w:rsidRPr="005313FF">
        <w:rPr>
          <w:rFonts w:ascii="Verdana" w:hAnsi="Verdana"/>
          <w:color w:val="000000" w:themeColor="text1"/>
          <w:sz w:val="22"/>
          <w:szCs w:val="22"/>
        </w:rPr>
        <w:t xml:space="preserve"> authorize addition of the ADR clause, we would have to assume that by agreeing to the change of terms provision, the Bank's customers intended to permit a modification that would amount to waiver of their constitutionally based right to a jury trial (Cal. Const., art. I, § 16). In order to be enforceable, a contractual waiver of the right to a jury trial “must be clearly apparent in the contract and its language must be unambiguous and unequivocal, leaving no room for doubt as to the intention of the parties.” (</w:t>
      </w:r>
      <w:proofErr w:type="spellStart"/>
      <w:r w:rsidRPr="005313FF">
        <w:rPr>
          <w:rFonts w:ascii="Verdana" w:hAnsi="Verdana"/>
          <w:i/>
          <w:iCs/>
          <w:color w:val="000000" w:themeColor="text1"/>
          <w:sz w:val="22"/>
          <w:szCs w:val="22"/>
        </w:rPr>
        <w:t>Trizec</w:t>
      </w:r>
      <w:proofErr w:type="spellEnd"/>
      <w:r w:rsidRPr="005313FF">
        <w:rPr>
          <w:rFonts w:ascii="Verdana" w:hAnsi="Verdana"/>
          <w:i/>
          <w:iCs/>
          <w:color w:val="000000" w:themeColor="text1"/>
          <w:sz w:val="22"/>
          <w:szCs w:val="22"/>
        </w:rPr>
        <w:t xml:space="preserve"> Properties, Inc. v. Superior Court</w:t>
      </w:r>
      <w:r w:rsidRPr="005313FF">
        <w:rPr>
          <w:rFonts w:ascii="Verdana" w:hAnsi="Verdana"/>
          <w:color w:val="000000" w:themeColor="text1"/>
          <w:sz w:val="22"/>
          <w:szCs w:val="22"/>
        </w:rPr>
        <w:t xml:space="preserve"> (1991) 229 Cal.App.3d 1616, 1619 [280 </w:t>
      </w:r>
      <w:proofErr w:type="spellStart"/>
      <w:r w:rsidRPr="005313FF">
        <w:rPr>
          <w:rFonts w:ascii="Verdana" w:hAnsi="Verdana"/>
          <w:color w:val="000000" w:themeColor="text1"/>
          <w:sz w:val="22"/>
          <w:szCs w:val="22"/>
        </w:rPr>
        <w:t>Cal.Rptr</w:t>
      </w:r>
      <w:proofErr w:type="spellEnd"/>
      <w:r w:rsidRPr="005313FF">
        <w:rPr>
          <w:rFonts w:ascii="Verdana" w:hAnsi="Verdana"/>
          <w:color w:val="000000" w:themeColor="text1"/>
          <w:sz w:val="22"/>
          <w:szCs w:val="22"/>
        </w:rPr>
        <w:t xml:space="preserve">. 885].) Although an effective waiver, particularly in a </w:t>
      </w:r>
      <w:proofErr w:type="spellStart"/>
      <w:r w:rsidRPr="005313FF">
        <w:rPr>
          <w:rFonts w:ascii="Verdana" w:hAnsi="Verdana"/>
          <w:color w:val="000000" w:themeColor="text1"/>
          <w:sz w:val="22"/>
          <w:szCs w:val="22"/>
        </w:rPr>
        <w:t>nonadhesive</w:t>
      </w:r>
      <w:proofErr w:type="spellEnd"/>
      <w:r w:rsidRPr="005313FF">
        <w:rPr>
          <w:rFonts w:ascii="Verdana" w:hAnsi="Verdana"/>
          <w:color w:val="000000" w:themeColor="text1"/>
          <w:sz w:val="22"/>
          <w:szCs w:val="22"/>
        </w:rPr>
        <w:t xml:space="preserve"> contract, need not expressly state, “I waive my right to a jury trial” or words to that effect, it must clearly and unambiguously show that the party has agreed to resolve disputes in a forum </w:t>
      </w:r>
      <w:r w:rsidRPr="005313FF">
        <w:rPr>
          <w:rFonts w:ascii="Verdana" w:hAnsi="Verdana"/>
          <w:i/>
          <w:iCs/>
          <w:color w:val="000000" w:themeColor="text1"/>
          <w:sz w:val="22"/>
          <w:szCs w:val="22"/>
        </w:rPr>
        <w:t>other than</w:t>
      </w:r>
      <w:r w:rsidRPr="005313FF">
        <w:rPr>
          <w:rFonts w:ascii="Verdana" w:hAnsi="Verdana"/>
          <w:color w:val="000000" w:themeColor="text1"/>
          <w:sz w:val="22"/>
          <w:szCs w:val="22"/>
        </w:rPr>
        <w:t xml:space="preserve"> the judicial one, which is the only forum in which disputes are resolved by juries . . . Where it is doubtful whether a party has waived his or her constitutionally protected right to a jury trial, the question should be resolved in favor of preserving that right. </w:t>
      </w:r>
    </w:p>
    <w:p w14:paraId="63EBDEB1"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 . .</w:t>
      </w:r>
    </w:p>
    <w:p w14:paraId="6ACB0863"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Disposition</w:t>
      </w:r>
    </w:p>
    <w:p w14:paraId="0A0DA0E0" w14:textId="77777777" w:rsidR="00936401" w:rsidRPr="005313FF" w:rsidRDefault="00936401" w:rsidP="00936401">
      <w:pPr>
        <w:widowControl w:val="0"/>
        <w:autoSpaceDE w:val="0"/>
        <w:autoSpaceDN w:val="0"/>
        <w:adjustRightInd w:val="0"/>
        <w:rPr>
          <w:rFonts w:ascii="Verdana" w:hAnsi="Verdana"/>
          <w:color w:val="000000" w:themeColor="text1"/>
          <w:sz w:val="22"/>
          <w:szCs w:val="22"/>
        </w:rPr>
      </w:pPr>
      <w:r w:rsidRPr="005313FF">
        <w:rPr>
          <w:rFonts w:ascii="Verdana" w:hAnsi="Verdana"/>
          <w:color w:val="000000" w:themeColor="text1"/>
          <w:sz w:val="22"/>
          <w:szCs w:val="22"/>
        </w:rPr>
        <w:t>The judgment entered in favor of the Bank on the plaintiffs' third cause of action with respect to the validity and enforceability of the ADR clause is reversed. That clause is not a part of the Bank's contract with the four individual plaintiffs here and may not be enforced against them. The judgment is affirmed in all other respects. Costs are awarded to the individual appellants.</w:t>
      </w:r>
    </w:p>
    <w:p w14:paraId="4CAD28A8"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01"/>
    <w:rsid w:val="00936401"/>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D2AE"/>
  <w15:chartTrackingRefBased/>
  <w15:docId w15:val="{74C6E94D-249F-4858-8FF8-FC1A11E6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401"/>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2052</Words>
  <Characters>11700</Characters>
  <Application>Microsoft Office Word</Application>
  <DocSecurity>0</DocSecurity>
  <Lines>97</Lines>
  <Paragraphs>27</Paragraphs>
  <ScaleCrop>false</ScaleCrop>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2020-11-16T01:13:00Z</dcterms:created>
  <dcterms:modified xsi:type="dcterms:W3CDTF">2020-11-16T01:15:00Z</dcterms:modified>
</cp:coreProperties>
</file>