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974F" w14:textId="77777777" w:rsidR="001B0D87" w:rsidRPr="008A688A" w:rsidRDefault="001B0D87" w:rsidP="001B0D87">
      <w:pPr>
        <w:jc w:val="center"/>
        <w:outlineLvl w:val="0"/>
        <w:rPr>
          <w:rFonts w:eastAsia="Verdana" w:cs="Verdana"/>
          <w:color w:val="000000" w:themeColor="text1"/>
        </w:rPr>
      </w:pPr>
      <w:bookmarkStart w:id="0" w:name="_Toc148270968"/>
      <w:bookmarkStart w:id="1" w:name="_Toc154321494"/>
      <w:r w:rsidRPr="008A688A">
        <w:rPr>
          <w:rFonts w:eastAsia="Verdana" w:cs="Verdana"/>
          <w:color w:val="000000" w:themeColor="text1"/>
        </w:rPr>
        <w:t>Warren v. DSG Retail</w:t>
      </w:r>
      <w:bookmarkEnd w:id="0"/>
      <w:bookmarkEnd w:id="1"/>
      <w:r w:rsidRPr="008A688A">
        <w:rPr>
          <w:rFonts w:eastAsia="Verdana" w:cs="Verdana"/>
          <w:color w:val="000000" w:themeColor="text1"/>
        </w:rPr>
        <w:t xml:space="preserve"> </w:t>
      </w:r>
    </w:p>
    <w:p w14:paraId="49FE7C7A" w14:textId="77777777" w:rsidR="001B0D87" w:rsidRPr="008A688A" w:rsidRDefault="001B0D87" w:rsidP="001B0D87">
      <w:pPr>
        <w:jc w:val="center"/>
        <w:rPr>
          <w:rFonts w:eastAsia="Verdana" w:cs="Verdana"/>
          <w:color w:val="000000" w:themeColor="text1"/>
        </w:rPr>
      </w:pPr>
      <w:r w:rsidRPr="008A688A">
        <w:rPr>
          <w:rFonts w:eastAsia="Verdana" w:cs="Verdana"/>
          <w:color w:val="000000" w:themeColor="text1"/>
        </w:rPr>
        <w:t>[2021] EWHC 2168 (QB)</w:t>
      </w:r>
    </w:p>
    <w:p w14:paraId="42FA38CD" w14:textId="77777777" w:rsidR="001B0D87" w:rsidRPr="008A688A" w:rsidRDefault="001B0D87" w:rsidP="001B0D87">
      <w:pPr>
        <w:jc w:val="center"/>
        <w:rPr>
          <w:rFonts w:eastAsia="Verdana" w:cs="Verdana"/>
          <w:color w:val="000000" w:themeColor="text1"/>
        </w:rPr>
      </w:pPr>
    </w:p>
    <w:p w14:paraId="1461DA35" w14:textId="77777777" w:rsidR="001B0D87" w:rsidRPr="008A688A" w:rsidRDefault="001B0D87" w:rsidP="001B0D87">
      <w:pPr>
        <w:rPr>
          <w:rFonts w:eastAsia="Verdana" w:cs="Verdana"/>
          <w:color w:val="000000" w:themeColor="text1"/>
        </w:rPr>
      </w:pPr>
      <w:r w:rsidRPr="008A688A">
        <w:rPr>
          <w:rFonts w:eastAsia="Verdana" w:cs="Verdana"/>
          <w:b/>
          <w:color w:val="000000" w:themeColor="text1"/>
        </w:rPr>
        <w:t>MR JUSTICE SAINI:</w:t>
      </w:r>
    </w:p>
    <w:p w14:paraId="08FCCC8B" w14:textId="77777777" w:rsidR="001B0D87" w:rsidRPr="008A688A" w:rsidRDefault="001B0D87" w:rsidP="001B0D87">
      <w:pPr>
        <w:rPr>
          <w:rFonts w:eastAsia="Verdana" w:cs="Verdana"/>
          <w:color w:val="000000" w:themeColor="text1"/>
        </w:rPr>
      </w:pPr>
    </w:p>
    <w:p w14:paraId="653FA731"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55FDF391" w14:textId="77777777" w:rsidR="001B0D87" w:rsidRPr="008A688A" w:rsidRDefault="001B0D87" w:rsidP="001B0D87">
      <w:pPr>
        <w:rPr>
          <w:rFonts w:eastAsia="Verdana" w:cs="Verdana"/>
          <w:color w:val="000000" w:themeColor="text1"/>
        </w:rPr>
      </w:pPr>
    </w:p>
    <w:p w14:paraId="0A75E9AE" w14:textId="77777777" w:rsidR="001B0D87" w:rsidRPr="008A688A" w:rsidRDefault="001B0D87" w:rsidP="001B0D87">
      <w:pPr>
        <w:rPr>
          <w:rFonts w:eastAsia="Verdana" w:cs="Verdana"/>
          <w:b/>
          <w:color w:val="000000" w:themeColor="text1"/>
          <w:u w:val="single"/>
        </w:rPr>
      </w:pPr>
      <w:r w:rsidRPr="008A688A">
        <w:rPr>
          <w:rFonts w:eastAsia="Verdana" w:cs="Verdana"/>
          <w:color w:val="000000" w:themeColor="text1"/>
        </w:rPr>
        <w:t>I. </w:t>
      </w:r>
      <w:r w:rsidRPr="008A688A">
        <w:rPr>
          <w:rFonts w:eastAsia="Verdana" w:cs="Verdana"/>
          <w:b/>
          <w:color w:val="000000" w:themeColor="text1"/>
          <w:u w:val="single"/>
        </w:rPr>
        <w:t>Overview</w:t>
      </w:r>
    </w:p>
    <w:p w14:paraId="6892702E" w14:textId="77777777" w:rsidR="001B0D87" w:rsidRPr="008A688A" w:rsidRDefault="001B0D87" w:rsidP="001B0D87">
      <w:pPr>
        <w:rPr>
          <w:rFonts w:eastAsia="Verdana" w:cs="Verdana"/>
          <w:color w:val="000000" w:themeColor="text1"/>
        </w:rPr>
      </w:pPr>
    </w:p>
    <w:p w14:paraId="54E688D9" w14:textId="77777777" w:rsidR="001B0D87" w:rsidRPr="008A688A" w:rsidRDefault="001B0D87" w:rsidP="001B0D87">
      <w:pPr>
        <w:numPr>
          <w:ilvl w:val="0"/>
          <w:numId w:val="12"/>
        </w:numPr>
        <w:ind w:left="0"/>
        <w:rPr>
          <w:rFonts w:eastAsia="Verdana" w:cs="Verdana"/>
          <w:color w:val="000000" w:themeColor="text1"/>
        </w:rPr>
      </w:pPr>
      <w:r w:rsidRPr="008A688A">
        <w:rPr>
          <w:rFonts w:eastAsia="Verdana" w:cs="Verdana"/>
          <w:color w:val="000000" w:themeColor="text1"/>
        </w:rPr>
        <w:t>The Defendant ("DSG") is the well-known retailer operating the '</w:t>
      </w:r>
      <w:proofErr w:type="spellStart"/>
      <w:r w:rsidRPr="008A688A">
        <w:rPr>
          <w:rFonts w:eastAsia="Verdana" w:cs="Verdana"/>
          <w:color w:val="000000" w:themeColor="text1"/>
        </w:rPr>
        <w:t>Currys</w:t>
      </w:r>
      <w:proofErr w:type="spellEnd"/>
      <w:r w:rsidRPr="008A688A">
        <w:rPr>
          <w:rFonts w:eastAsia="Verdana" w:cs="Verdana"/>
          <w:color w:val="000000" w:themeColor="text1"/>
        </w:rPr>
        <w:t xml:space="preserve"> PC World' and 'Dixons Travel' brands. Between 24 July 2017 and 25 April 2018, DSG was the victim of a complex cyber-attack (the "Attack"), carried out by sophisticated and methodical criminals (the "Attackers"). The Attackers infiltrated DSG's systems and installed malware which was running on 5,930 point of sale terminals at the stores. </w:t>
      </w:r>
      <w:proofErr w:type="gramStart"/>
      <w:r w:rsidRPr="008A688A">
        <w:rPr>
          <w:rFonts w:eastAsia="Verdana" w:cs="Verdana"/>
          <w:color w:val="000000" w:themeColor="text1"/>
        </w:rPr>
        <w:t>In the course of</w:t>
      </w:r>
      <w:proofErr w:type="gramEnd"/>
      <w:r w:rsidRPr="008A688A">
        <w:rPr>
          <w:rFonts w:eastAsia="Verdana" w:cs="Verdana"/>
          <w:color w:val="000000" w:themeColor="text1"/>
        </w:rPr>
        <w:t xml:space="preserve"> the Attack, the Attackers accessed the personal data of many of DSG's customers.</w:t>
      </w:r>
    </w:p>
    <w:p w14:paraId="2B1CDB81" w14:textId="77777777" w:rsidR="001B0D87" w:rsidRPr="008A688A" w:rsidRDefault="001B0D87" w:rsidP="001B0D87">
      <w:pPr>
        <w:rPr>
          <w:rFonts w:eastAsia="Verdana" w:cs="Verdana"/>
          <w:color w:val="000000" w:themeColor="text1"/>
        </w:rPr>
      </w:pPr>
    </w:p>
    <w:p w14:paraId="0D1DA235"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44E48386" w14:textId="77777777" w:rsidR="001B0D87" w:rsidRPr="008A688A" w:rsidRDefault="001B0D87" w:rsidP="001B0D87">
      <w:pPr>
        <w:rPr>
          <w:rFonts w:eastAsia="Verdana" w:cs="Verdana"/>
          <w:color w:val="000000" w:themeColor="text1"/>
        </w:rPr>
      </w:pPr>
    </w:p>
    <w:p w14:paraId="0D969555" w14:textId="77777777" w:rsidR="001B0D87" w:rsidRPr="008A688A" w:rsidRDefault="001B0D87" w:rsidP="001B0D87">
      <w:pPr>
        <w:numPr>
          <w:ilvl w:val="0"/>
          <w:numId w:val="13"/>
        </w:numPr>
        <w:ind w:left="0"/>
        <w:rPr>
          <w:rFonts w:eastAsia="Verdana" w:cs="Verdana"/>
          <w:color w:val="000000" w:themeColor="text1"/>
        </w:rPr>
      </w:pPr>
      <w:r w:rsidRPr="008A688A">
        <w:rPr>
          <w:rFonts w:eastAsia="Verdana" w:cs="Verdana"/>
          <w:color w:val="000000" w:themeColor="text1"/>
        </w:rPr>
        <w:t xml:space="preserve">The Claimant, Darren Lee Warren, had purchased goods from </w:t>
      </w:r>
      <w:proofErr w:type="spellStart"/>
      <w:r w:rsidRPr="008A688A">
        <w:rPr>
          <w:rFonts w:eastAsia="Verdana" w:cs="Verdana"/>
          <w:color w:val="000000" w:themeColor="text1"/>
        </w:rPr>
        <w:t>Currys</w:t>
      </w:r>
      <w:proofErr w:type="spellEnd"/>
      <w:r w:rsidRPr="008A688A">
        <w:rPr>
          <w:rFonts w:eastAsia="Verdana" w:cs="Verdana"/>
          <w:color w:val="000000" w:themeColor="text1"/>
        </w:rPr>
        <w:t xml:space="preserve"> PC World and claims that the following personal information or data concerning him was compromised in the Attack: his name, address, phone number, date of birth and email address.</w:t>
      </w:r>
    </w:p>
    <w:p w14:paraId="64EB95B3" w14:textId="77777777" w:rsidR="001B0D87" w:rsidRPr="008A688A" w:rsidRDefault="001B0D87" w:rsidP="001B0D87">
      <w:pPr>
        <w:rPr>
          <w:rFonts w:eastAsia="Verdana" w:cs="Verdana"/>
          <w:color w:val="000000" w:themeColor="text1"/>
        </w:rPr>
      </w:pPr>
    </w:p>
    <w:p w14:paraId="3CDADA3B" w14:textId="77777777" w:rsidR="001B0D87" w:rsidRPr="008A688A" w:rsidRDefault="001B0D87" w:rsidP="001B0D87">
      <w:pPr>
        <w:numPr>
          <w:ilvl w:val="0"/>
          <w:numId w:val="14"/>
        </w:numPr>
        <w:ind w:left="0"/>
        <w:rPr>
          <w:rFonts w:eastAsia="Verdana" w:cs="Verdana"/>
          <w:color w:val="000000" w:themeColor="text1"/>
        </w:rPr>
      </w:pPr>
      <w:r w:rsidRPr="008A688A">
        <w:rPr>
          <w:rFonts w:eastAsia="Verdana" w:cs="Verdana"/>
          <w:color w:val="000000" w:themeColor="text1"/>
        </w:rPr>
        <w:t xml:space="preserve">As a result of that event, the Claimant has brought this claim against DSG as the relevant data controller for damages limited to £5,000.00. Those damages are not claimed </w:t>
      </w:r>
      <w:proofErr w:type="gramStart"/>
      <w:r w:rsidRPr="008A688A">
        <w:rPr>
          <w:rFonts w:eastAsia="Verdana" w:cs="Verdana"/>
          <w:color w:val="000000" w:themeColor="text1"/>
        </w:rPr>
        <w:t>as a result of</w:t>
      </w:r>
      <w:proofErr w:type="gramEnd"/>
      <w:r w:rsidRPr="008A688A">
        <w:rPr>
          <w:rFonts w:eastAsia="Verdana" w:cs="Verdana"/>
          <w:color w:val="000000" w:themeColor="text1"/>
        </w:rPr>
        <w:t xml:space="preserve"> any personal injury but, as described in more detail below, are damages in respect of distress the Claimant suffered as a result of his personal data being compromised and lost. The causes of action relied upon are breach of confidence ("BoC"), misuse of private information ("MPI"), breach of the Data Protection Act 1998 ("DPA"), and common law negligence.</w:t>
      </w:r>
    </w:p>
    <w:p w14:paraId="32F2D9FC" w14:textId="77777777" w:rsidR="001B0D87" w:rsidRPr="008A688A" w:rsidRDefault="001B0D87" w:rsidP="001B0D87">
      <w:pPr>
        <w:rPr>
          <w:rFonts w:eastAsia="Verdana" w:cs="Verdana"/>
          <w:color w:val="000000" w:themeColor="text1"/>
        </w:rPr>
      </w:pPr>
    </w:p>
    <w:p w14:paraId="29A15624"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2D726265" w14:textId="77777777" w:rsidR="001B0D87" w:rsidRPr="008A688A" w:rsidRDefault="001B0D87" w:rsidP="001B0D87">
      <w:pPr>
        <w:rPr>
          <w:rFonts w:eastAsia="Verdana" w:cs="Verdana"/>
          <w:b/>
          <w:color w:val="000000" w:themeColor="text1"/>
          <w:u w:val="single"/>
        </w:rPr>
      </w:pPr>
      <w:r w:rsidRPr="008A688A">
        <w:rPr>
          <w:rFonts w:eastAsia="Verdana" w:cs="Verdana"/>
          <w:color w:val="000000" w:themeColor="text1"/>
        </w:rPr>
        <w:t>II. </w:t>
      </w:r>
      <w:r w:rsidRPr="008A688A">
        <w:rPr>
          <w:rFonts w:eastAsia="Verdana" w:cs="Verdana"/>
          <w:b/>
          <w:color w:val="000000" w:themeColor="text1"/>
          <w:u w:val="single"/>
        </w:rPr>
        <w:t>The Arguments</w:t>
      </w:r>
    </w:p>
    <w:p w14:paraId="183582D4" w14:textId="77777777" w:rsidR="001B0D87" w:rsidRPr="008A688A" w:rsidRDefault="001B0D87" w:rsidP="001B0D87">
      <w:pPr>
        <w:rPr>
          <w:rFonts w:eastAsia="Verdana" w:cs="Verdana"/>
          <w:color w:val="000000" w:themeColor="text1"/>
        </w:rPr>
      </w:pPr>
    </w:p>
    <w:p w14:paraId="57E8B317"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152B5C6A" w14:textId="77777777" w:rsidR="001B0D87" w:rsidRPr="008A688A" w:rsidRDefault="001B0D87" w:rsidP="001B0D87">
      <w:pPr>
        <w:rPr>
          <w:rFonts w:eastAsia="Verdana" w:cs="Verdana"/>
          <w:color w:val="000000" w:themeColor="text1"/>
        </w:rPr>
      </w:pPr>
    </w:p>
    <w:p w14:paraId="3B8506EE" w14:textId="77777777" w:rsidR="001B0D87" w:rsidRPr="008A688A" w:rsidRDefault="001B0D87" w:rsidP="001B0D87">
      <w:pPr>
        <w:numPr>
          <w:ilvl w:val="0"/>
          <w:numId w:val="1"/>
        </w:numPr>
        <w:ind w:left="0"/>
        <w:rPr>
          <w:rFonts w:eastAsia="Verdana" w:cs="Verdana"/>
          <w:color w:val="000000" w:themeColor="text1"/>
        </w:rPr>
      </w:pPr>
      <w:r w:rsidRPr="008A688A">
        <w:rPr>
          <w:rFonts w:eastAsia="Verdana" w:cs="Verdana"/>
          <w:color w:val="000000" w:themeColor="text1"/>
        </w:rPr>
        <w:t xml:space="preserve">As regards both MPI and BoC, Leading Counsel for DSG focused on the fact that the Claimant brings a claim for distress damages arising out of a cyber-attack on DSG, in which an external, criminal third-party attacker obtained access to personal data by breaching DSG's security systems. So, it was argued, the breach alleged is a failure to keep the data secure from </w:t>
      </w:r>
      <w:proofErr w:type="spellStart"/>
      <w:r w:rsidRPr="008A688A">
        <w:rPr>
          <w:rFonts w:eastAsia="Verdana" w:cs="Verdana"/>
          <w:color w:val="000000" w:themeColor="text1"/>
        </w:rPr>
        <w:t>unauthorised</w:t>
      </w:r>
      <w:proofErr w:type="spellEnd"/>
      <w:r w:rsidRPr="008A688A">
        <w:rPr>
          <w:rFonts w:eastAsia="Verdana" w:cs="Verdana"/>
          <w:color w:val="000000" w:themeColor="text1"/>
        </w:rPr>
        <w:t xml:space="preserve"> third-party access. It was said that such an allegation does not amount in law to an allegation of BoC or MPI. It was submitted that both of those causes of action require the defendant to have taken some positive wrongful action in relation to the information in question (typically, disclosing it to a third party or making some other </w:t>
      </w:r>
      <w:proofErr w:type="spellStart"/>
      <w:r w:rsidRPr="008A688A">
        <w:rPr>
          <w:rFonts w:eastAsia="Verdana" w:cs="Verdana"/>
          <w:color w:val="000000" w:themeColor="text1"/>
        </w:rPr>
        <w:t>unauthorised</w:t>
      </w:r>
      <w:proofErr w:type="spellEnd"/>
      <w:r w:rsidRPr="008A688A">
        <w:rPr>
          <w:rFonts w:eastAsia="Verdana" w:cs="Verdana"/>
          <w:color w:val="000000" w:themeColor="text1"/>
        </w:rPr>
        <w:t xml:space="preserve"> use of it). Reliance is placed on the fact that DSG did not itself take any such positive wrongful action . . . </w:t>
      </w:r>
    </w:p>
    <w:p w14:paraId="7967A9AE" w14:textId="77777777" w:rsidR="001B0D87" w:rsidRPr="008A688A" w:rsidRDefault="001B0D87" w:rsidP="001B0D87">
      <w:pPr>
        <w:rPr>
          <w:rFonts w:eastAsia="Verdana" w:cs="Verdana"/>
          <w:color w:val="000000" w:themeColor="text1"/>
        </w:rPr>
      </w:pPr>
    </w:p>
    <w:p w14:paraId="18E57485" w14:textId="77777777" w:rsidR="001B0D87" w:rsidRPr="008A688A" w:rsidRDefault="001B0D87" w:rsidP="001B0D87">
      <w:pPr>
        <w:numPr>
          <w:ilvl w:val="0"/>
          <w:numId w:val="2"/>
        </w:numPr>
        <w:ind w:left="0"/>
        <w:rPr>
          <w:rFonts w:eastAsia="Verdana" w:cs="Verdana"/>
          <w:color w:val="000000" w:themeColor="text1"/>
        </w:rPr>
      </w:pPr>
      <w:bookmarkStart w:id="2" w:name="bookmark=id.2bn6wsx" w:colFirst="0" w:colLast="0"/>
      <w:bookmarkEnd w:id="2"/>
      <w:r w:rsidRPr="008A688A">
        <w:rPr>
          <w:rFonts w:eastAsia="Verdana" w:cs="Verdana"/>
          <w:color w:val="000000" w:themeColor="text1"/>
        </w:rPr>
        <w:t>As to the MPI claim, it was submitted this was a proper claim to go forward because the information which was compromised was </w:t>
      </w:r>
      <w:r w:rsidRPr="008A688A">
        <w:rPr>
          <w:rFonts w:eastAsia="Verdana" w:cs="Verdana"/>
          <w:i/>
          <w:color w:val="000000" w:themeColor="text1"/>
        </w:rPr>
        <w:t>prima facie </w:t>
      </w:r>
      <w:r w:rsidRPr="008A688A">
        <w:rPr>
          <w:rFonts w:eastAsia="Verdana" w:cs="Verdana"/>
          <w:color w:val="000000" w:themeColor="text1"/>
        </w:rPr>
        <w:t xml:space="preserve">private (full name, contact address, email address, telephone number, date of birth), being </w:t>
      </w:r>
      <w:proofErr w:type="gramStart"/>
      <w:r w:rsidRPr="008A688A">
        <w:rPr>
          <w:rFonts w:eastAsia="Verdana" w:cs="Verdana"/>
          <w:color w:val="000000" w:themeColor="text1"/>
        </w:rPr>
        <w:t>information</w:t>
      </w:r>
      <w:proofErr w:type="gramEnd"/>
      <w:r w:rsidRPr="008A688A">
        <w:rPr>
          <w:rFonts w:eastAsia="Verdana" w:cs="Verdana"/>
          <w:color w:val="000000" w:themeColor="text1"/>
        </w:rPr>
        <w:t xml:space="preserve"> which rendered the Claimant susceptible to identity fraud. Counsel argued that in providing this information to DSG the Claimant had a reasonable expectation that his information would be adequately protected and, thereby, kept private. It point was argued that MPI encompasses not only the disclosure / publication of information, but also with privacy 'intrusion' and </w:t>
      </w:r>
      <w:proofErr w:type="gramStart"/>
      <w:r w:rsidRPr="008A688A">
        <w:rPr>
          <w:rFonts w:eastAsia="Verdana" w:cs="Verdana"/>
          <w:color w:val="000000" w:themeColor="text1"/>
        </w:rPr>
        <w:t>the means by which</w:t>
      </w:r>
      <w:proofErr w:type="gramEnd"/>
      <w:r w:rsidRPr="008A688A">
        <w:rPr>
          <w:rFonts w:eastAsia="Verdana" w:cs="Verdana"/>
          <w:color w:val="000000" w:themeColor="text1"/>
        </w:rPr>
        <w:t xml:space="preserve"> the information is obtained. As to DSG's submission that that a 'misuse' requires a positive action, Counsel for the Claimant argued that it is unsupported by authority . . . It was said that notwithstanding the basic nature of some deficiencies and DSG's resources as a successful nationwide retailer, they were not remedied. It follows, it was argued, that DSG intentionally and recklessly left the Claimant's private information exposed to a real risk of intrusion and/or "tantamount to publication" to the world at large. Accordingly, it was argued that put in another way, the Claimant's case, properly understood, is a publication case: DSG's failure to implement </w:t>
      </w:r>
      <w:r w:rsidRPr="008A688A">
        <w:rPr>
          <w:rFonts w:eastAsia="Verdana" w:cs="Verdana"/>
          <w:i/>
          <w:color w:val="000000" w:themeColor="text1"/>
        </w:rPr>
        <w:t>basic </w:t>
      </w:r>
      <w:r w:rsidRPr="008A688A">
        <w:rPr>
          <w:rFonts w:eastAsia="Verdana" w:cs="Verdana"/>
          <w:color w:val="000000" w:themeColor="text1"/>
        </w:rPr>
        <w:t>security measures to protect his information meant that there was – in effect – publication to the third-party hacker. I was taken in some detail in the skeleton to the conclusions in the MPN and reminded that insofar as DSG disputes these that is a matter for trial.</w:t>
      </w:r>
    </w:p>
    <w:p w14:paraId="35B3D2FB" w14:textId="77777777" w:rsidR="001B0D87" w:rsidRPr="008A688A" w:rsidRDefault="001B0D87" w:rsidP="001B0D87">
      <w:pPr>
        <w:rPr>
          <w:rFonts w:eastAsia="Verdana" w:cs="Verdana"/>
          <w:color w:val="000000" w:themeColor="text1"/>
        </w:rPr>
      </w:pPr>
    </w:p>
    <w:p w14:paraId="4EB1B7A8"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12DF8505" w14:textId="77777777" w:rsidR="001B0D87" w:rsidRPr="008A688A" w:rsidRDefault="001B0D87" w:rsidP="001B0D87">
      <w:pPr>
        <w:rPr>
          <w:rFonts w:eastAsia="Verdana" w:cs="Verdana"/>
          <w:color w:val="000000" w:themeColor="text1"/>
        </w:rPr>
      </w:pPr>
    </w:p>
    <w:p w14:paraId="23FED441"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I. </w:t>
      </w:r>
      <w:r w:rsidRPr="008A688A">
        <w:rPr>
          <w:rFonts w:eastAsia="Verdana" w:cs="Verdana"/>
          <w:b/>
          <w:color w:val="000000" w:themeColor="text1"/>
          <w:u w:val="single"/>
        </w:rPr>
        <w:t>Discussion and conclusions</w:t>
      </w:r>
    </w:p>
    <w:p w14:paraId="02218760" w14:textId="77777777" w:rsidR="001B0D87" w:rsidRPr="008A688A" w:rsidRDefault="001B0D87" w:rsidP="001B0D87">
      <w:pPr>
        <w:rPr>
          <w:rFonts w:eastAsia="Verdana" w:cs="Verdana"/>
          <w:color w:val="000000" w:themeColor="text1"/>
          <w:u w:val="single"/>
        </w:rPr>
      </w:pPr>
    </w:p>
    <w:p w14:paraId="5B532578" w14:textId="77777777" w:rsidR="001B0D87" w:rsidRPr="008A688A" w:rsidRDefault="001B0D87" w:rsidP="001B0D87">
      <w:pPr>
        <w:rPr>
          <w:rFonts w:eastAsia="Verdana" w:cs="Verdana"/>
          <w:color w:val="000000" w:themeColor="text1"/>
          <w:u w:val="single"/>
        </w:rPr>
      </w:pPr>
      <w:r w:rsidRPr="008A688A">
        <w:rPr>
          <w:rFonts w:eastAsia="Verdana" w:cs="Verdana"/>
          <w:color w:val="000000" w:themeColor="text1"/>
          <w:u w:val="single"/>
        </w:rPr>
        <w:t>The BoC and MPI claims</w:t>
      </w:r>
    </w:p>
    <w:p w14:paraId="1FD16442" w14:textId="77777777" w:rsidR="001B0D87" w:rsidRPr="008A688A" w:rsidRDefault="001B0D87" w:rsidP="001B0D87">
      <w:pPr>
        <w:rPr>
          <w:rFonts w:eastAsia="Verdana" w:cs="Verdana"/>
          <w:color w:val="000000" w:themeColor="text1"/>
        </w:rPr>
      </w:pPr>
    </w:p>
    <w:p w14:paraId="3F000587" w14:textId="77777777" w:rsidR="001B0D87" w:rsidRPr="008A688A" w:rsidRDefault="001B0D87" w:rsidP="001B0D87">
      <w:pPr>
        <w:numPr>
          <w:ilvl w:val="0"/>
          <w:numId w:val="3"/>
        </w:numPr>
        <w:ind w:left="0"/>
        <w:rPr>
          <w:rFonts w:eastAsia="Verdana" w:cs="Verdana"/>
          <w:color w:val="000000" w:themeColor="text1"/>
        </w:rPr>
      </w:pPr>
      <w:r w:rsidRPr="008A688A">
        <w:rPr>
          <w:rFonts w:eastAsia="Verdana" w:cs="Verdana"/>
          <w:color w:val="000000" w:themeColor="text1"/>
        </w:rPr>
        <w:t>Although the BoC claim is no longer maintained, I will for the sake of completeness consider both that claim and the MPI claim. The BoC has also not been formally discontinued. The law in relation to BoC also informs the recently developed MPI wrong.</w:t>
      </w:r>
    </w:p>
    <w:p w14:paraId="7EE0E5CE" w14:textId="77777777" w:rsidR="001B0D87" w:rsidRPr="008A688A" w:rsidRDefault="001B0D87" w:rsidP="001B0D87">
      <w:pPr>
        <w:rPr>
          <w:rFonts w:eastAsia="Verdana" w:cs="Verdana"/>
          <w:color w:val="000000" w:themeColor="text1"/>
        </w:rPr>
      </w:pPr>
    </w:p>
    <w:p w14:paraId="14DD00E8"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7D787B80" w14:textId="77777777" w:rsidR="001B0D87" w:rsidRPr="008A688A" w:rsidRDefault="001B0D87" w:rsidP="001B0D87">
      <w:pPr>
        <w:rPr>
          <w:rFonts w:eastAsia="Verdana" w:cs="Verdana"/>
          <w:color w:val="000000" w:themeColor="text1"/>
        </w:rPr>
      </w:pPr>
    </w:p>
    <w:p w14:paraId="1226D8AF" w14:textId="77777777" w:rsidR="001B0D87" w:rsidRPr="008A688A" w:rsidRDefault="001B0D87" w:rsidP="001B0D87">
      <w:pPr>
        <w:numPr>
          <w:ilvl w:val="0"/>
          <w:numId w:val="4"/>
        </w:numPr>
        <w:ind w:left="0"/>
        <w:rPr>
          <w:rFonts w:eastAsia="Verdana" w:cs="Verdana"/>
          <w:color w:val="000000" w:themeColor="text1"/>
        </w:rPr>
      </w:pPr>
      <w:proofErr w:type="gramStart"/>
      <w:r w:rsidRPr="008A688A">
        <w:rPr>
          <w:rFonts w:eastAsia="Verdana" w:cs="Verdana"/>
          <w:color w:val="000000" w:themeColor="text1"/>
        </w:rPr>
        <w:t>It is clear that the</w:t>
      </w:r>
      <w:proofErr w:type="gramEnd"/>
      <w:r w:rsidRPr="008A688A">
        <w:rPr>
          <w:rFonts w:eastAsia="Verdana" w:cs="Verdana"/>
          <w:color w:val="000000" w:themeColor="text1"/>
        </w:rPr>
        <w:t xml:space="preserve"> Claimant's claims are all based on the cyber-attack. So, the PoC §7 states that "</w:t>
      </w:r>
      <w:r w:rsidRPr="008A688A">
        <w:rPr>
          <w:rFonts w:eastAsia="Verdana" w:cs="Verdana"/>
          <w:i/>
          <w:color w:val="000000" w:themeColor="text1"/>
        </w:rPr>
        <w:t>the Defendant's computer systems were infiltrated as a result of a cyber-attack and malware was installed onto the Defendant's systems … more than 10 million personal records being stolen by the attacker</w:t>
      </w:r>
      <w:r w:rsidRPr="008A688A">
        <w:rPr>
          <w:rFonts w:eastAsia="Verdana" w:cs="Verdana"/>
          <w:color w:val="000000" w:themeColor="text1"/>
        </w:rPr>
        <w:t>". The PoC allege BoC and MPI comprising (at PoC §§12-13) "</w:t>
      </w:r>
      <w:r w:rsidRPr="008A688A">
        <w:rPr>
          <w:rFonts w:eastAsia="Verdana" w:cs="Verdana"/>
          <w:i/>
          <w:color w:val="000000" w:themeColor="text1"/>
        </w:rPr>
        <w:t xml:space="preserve">allowing a third party </w:t>
      </w:r>
      <w:proofErr w:type="spellStart"/>
      <w:r w:rsidRPr="008A688A">
        <w:rPr>
          <w:rFonts w:eastAsia="Verdana" w:cs="Verdana"/>
          <w:i/>
          <w:color w:val="000000" w:themeColor="text1"/>
        </w:rPr>
        <w:t>unauthorised</w:t>
      </w:r>
      <w:proofErr w:type="spellEnd"/>
      <w:r w:rsidRPr="008A688A">
        <w:rPr>
          <w:rFonts w:eastAsia="Verdana" w:cs="Verdana"/>
          <w:i/>
          <w:color w:val="000000" w:themeColor="text1"/>
        </w:rPr>
        <w:t xml:space="preserve"> access to personal data</w:t>
      </w:r>
      <w:r w:rsidRPr="008A688A">
        <w:rPr>
          <w:rFonts w:eastAsia="Verdana" w:cs="Verdana"/>
          <w:color w:val="000000" w:themeColor="text1"/>
        </w:rPr>
        <w:t>" (said to be "</w:t>
      </w:r>
      <w:r w:rsidRPr="008A688A">
        <w:rPr>
          <w:rFonts w:eastAsia="Verdana" w:cs="Verdana"/>
          <w:i/>
          <w:color w:val="000000" w:themeColor="text1"/>
        </w:rPr>
        <w:t>information in relation to which the Claimant had a reasonable expectation of privacy</w:t>
      </w:r>
      <w:r w:rsidRPr="008A688A">
        <w:rPr>
          <w:rFonts w:eastAsia="Verdana" w:cs="Verdana"/>
          <w:color w:val="000000" w:themeColor="text1"/>
        </w:rPr>
        <w:t>"), which "</w:t>
      </w:r>
      <w:r w:rsidRPr="008A688A">
        <w:rPr>
          <w:rFonts w:eastAsia="Verdana" w:cs="Verdana"/>
          <w:i/>
          <w:color w:val="000000" w:themeColor="text1"/>
        </w:rPr>
        <w:t>constituted an unjustifiable infringement of the Claimant's right to privacy and a misuse of the Claimant's private information which the Defendant failed to take any or any adequate steps to protect</w:t>
      </w:r>
      <w:r w:rsidRPr="008A688A">
        <w:rPr>
          <w:rFonts w:eastAsia="Verdana" w:cs="Verdana"/>
          <w:color w:val="000000" w:themeColor="text1"/>
        </w:rPr>
        <w:t>," and that the "</w:t>
      </w:r>
      <w:r w:rsidRPr="008A688A">
        <w:rPr>
          <w:rFonts w:eastAsia="Verdana" w:cs="Verdana"/>
          <w:i/>
          <w:color w:val="000000" w:themeColor="text1"/>
        </w:rPr>
        <w:t>Defendant's </w:t>
      </w:r>
      <w:r w:rsidRPr="008A688A">
        <w:rPr>
          <w:rFonts w:eastAsia="Verdana" w:cs="Verdana"/>
          <w:i/>
          <w:color w:val="000000" w:themeColor="text1"/>
          <w:u w:val="single"/>
        </w:rPr>
        <w:t>failures</w:t>
      </w:r>
      <w:r w:rsidRPr="008A688A">
        <w:rPr>
          <w:rFonts w:eastAsia="Verdana" w:cs="Verdana"/>
          <w:i/>
          <w:color w:val="000000" w:themeColor="text1"/>
        </w:rPr>
        <w:t>, aforesaid, </w:t>
      </w:r>
      <w:r w:rsidRPr="008A688A">
        <w:rPr>
          <w:rFonts w:eastAsia="Verdana" w:cs="Verdana"/>
          <w:i/>
          <w:color w:val="000000" w:themeColor="text1"/>
          <w:u w:val="single"/>
        </w:rPr>
        <w:t>caused</w:t>
      </w:r>
      <w:r w:rsidRPr="008A688A">
        <w:rPr>
          <w:rFonts w:eastAsia="Verdana" w:cs="Verdana"/>
          <w:i/>
          <w:color w:val="000000" w:themeColor="text1"/>
        </w:rPr>
        <w:t> the Claimant's personal and private information to be unlawfully processed and disseminated to an unknown third party.</w:t>
      </w:r>
      <w:r w:rsidRPr="008A688A">
        <w:rPr>
          <w:rFonts w:eastAsia="Verdana" w:cs="Verdana"/>
          <w:color w:val="000000" w:themeColor="text1"/>
        </w:rPr>
        <w:t>"</w:t>
      </w:r>
    </w:p>
    <w:p w14:paraId="77537CB9" w14:textId="77777777" w:rsidR="001B0D87" w:rsidRPr="008A688A" w:rsidRDefault="001B0D87" w:rsidP="001B0D87">
      <w:pPr>
        <w:rPr>
          <w:rFonts w:eastAsia="Verdana" w:cs="Verdana"/>
          <w:color w:val="000000" w:themeColor="text1"/>
        </w:rPr>
      </w:pPr>
    </w:p>
    <w:p w14:paraId="58E4CC87" w14:textId="77777777" w:rsidR="001B0D87" w:rsidRPr="008A688A" w:rsidRDefault="001B0D87" w:rsidP="001B0D87">
      <w:pPr>
        <w:numPr>
          <w:ilvl w:val="0"/>
          <w:numId w:val="6"/>
        </w:numPr>
        <w:ind w:left="0"/>
        <w:rPr>
          <w:rFonts w:eastAsia="Verdana" w:cs="Verdana"/>
          <w:color w:val="000000" w:themeColor="text1"/>
        </w:rPr>
      </w:pPr>
      <w:bookmarkStart w:id="3" w:name="bookmark=id.1pxezwc" w:colFirst="0" w:colLast="0"/>
      <w:bookmarkEnd w:id="3"/>
      <w:r w:rsidRPr="008A688A">
        <w:rPr>
          <w:rFonts w:eastAsia="Verdana" w:cs="Verdana"/>
          <w:color w:val="000000" w:themeColor="text1"/>
        </w:rPr>
        <w:lastRenderedPageBreak/>
        <w:t xml:space="preserve">In my judgment, the wrong is thus said to have been a 'failure' which allowed the Attacker to access the personal data. Despite the way in which Counsel for the Claimant has attractively sought to recharacterize her client's case, </w:t>
      </w:r>
      <w:proofErr w:type="gramStart"/>
      <w:r w:rsidRPr="008A688A">
        <w:rPr>
          <w:rFonts w:eastAsia="Verdana" w:cs="Verdana"/>
          <w:color w:val="000000" w:themeColor="text1"/>
        </w:rPr>
        <w:t>it is clear that the</w:t>
      </w:r>
      <w:proofErr w:type="gramEnd"/>
      <w:r w:rsidRPr="008A688A">
        <w:rPr>
          <w:rFonts w:eastAsia="Verdana" w:cs="Verdana"/>
          <w:color w:val="000000" w:themeColor="text1"/>
        </w:rPr>
        <w:t xml:space="preserve"> Claimant does not allege any positive conduct by DSG said to comprise a breach or a misuse for the purposes of either BoC or MPI. That is unsurprising, given that DSG was the victim of the cyber-attack. There can be no suggestion that DSG purposefully facilitated the Attack, and that is not pleaded in the claim. In any event, there is no evidence to that effect, and it is contrary to common sense.</w:t>
      </w:r>
    </w:p>
    <w:p w14:paraId="5C8732AE" w14:textId="77777777" w:rsidR="001B0D87" w:rsidRPr="008A688A" w:rsidRDefault="001B0D87" w:rsidP="001B0D87">
      <w:pPr>
        <w:rPr>
          <w:rFonts w:eastAsia="Verdana" w:cs="Verdana"/>
          <w:color w:val="000000" w:themeColor="text1"/>
        </w:rPr>
      </w:pPr>
    </w:p>
    <w:p w14:paraId="49B01CAB" w14:textId="77777777" w:rsidR="001B0D87" w:rsidRPr="008A688A" w:rsidRDefault="001B0D87" w:rsidP="001B0D87">
      <w:pPr>
        <w:numPr>
          <w:ilvl w:val="0"/>
          <w:numId w:val="8"/>
        </w:numPr>
        <w:ind w:left="0"/>
        <w:rPr>
          <w:rFonts w:eastAsia="Verdana" w:cs="Verdana"/>
          <w:color w:val="000000" w:themeColor="text1"/>
        </w:rPr>
      </w:pPr>
      <w:r w:rsidRPr="008A688A">
        <w:rPr>
          <w:rFonts w:eastAsia="Verdana" w:cs="Verdana"/>
          <w:color w:val="000000" w:themeColor="text1"/>
        </w:rPr>
        <w:t>Rather, the Claimant's claim is that the DSG failed in alleged duties to provide sufficient security for the Claimant's data. That is in essence the articulation of some form of data security duty. In my judgment, neither BoC nor MPI impose a data security duty on the holders of information (even if private or confidential). Both are concerned with prohibiting actions by the holder of information which are inconsistent with the obligation of confidence/privacy. Counsel for the Claimant submitted that applying the wrong of MPI on the present facts would be a "development of the law". In my judgment, such a development is precluded by an array of authority.</w:t>
      </w:r>
    </w:p>
    <w:p w14:paraId="0448B5B3" w14:textId="77777777" w:rsidR="001B0D87" w:rsidRPr="008A688A" w:rsidRDefault="001B0D87" w:rsidP="001B0D87">
      <w:pPr>
        <w:rPr>
          <w:rFonts w:eastAsia="Verdana" w:cs="Verdana"/>
          <w:color w:val="000000" w:themeColor="text1"/>
        </w:rPr>
      </w:pPr>
    </w:p>
    <w:p w14:paraId="746F44E1" w14:textId="77777777" w:rsidR="001B0D87" w:rsidRPr="008A688A" w:rsidRDefault="001B0D87" w:rsidP="001B0D87">
      <w:pPr>
        <w:numPr>
          <w:ilvl w:val="0"/>
          <w:numId w:val="5"/>
        </w:numPr>
        <w:ind w:left="0"/>
        <w:rPr>
          <w:rFonts w:eastAsia="Verdana" w:cs="Verdana"/>
          <w:color w:val="000000" w:themeColor="text1"/>
        </w:rPr>
      </w:pPr>
      <w:r w:rsidRPr="008A688A">
        <w:rPr>
          <w:rFonts w:eastAsia="Verdana" w:cs="Verdana"/>
          <w:color w:val="000000" w:themeColor="text1"/>
        </w:rPr>
        <w:t>In </w:t>
      </w:r>
      <w:r w:rsidRPr="008A688A">
        <w:rPr>
          <w:rFonts w:eastAsia="Verdana" w:cs="Verdana"/>
          <w:color w:val="000000" w:themeColor="text1"/>
          <w:u w:val="single"/>
        </w:rPr>
        <w:t>Attorney General v Guardian Newspapers Ltd (No 2)</w:t>
      </w:r>
      <w:r w:rsidRPr="008A688A">
        <w:rPr>
          <w:rFonts w:eastAsia="Verdana" w:cs="Verdana"/>
          <w:color w:val="000000" w:themeColor="text1"/>
        </w:rPr>
        <w:t> </w:t>
      </w:r>
      <w:r w:rsidRPr="008A688A">
        <w:rPr>
          <w:rFonts w:eastAsia="Verdana" w:cs="Verdana"/>
          <w:color w:val="000000" w:themeColor="text1"/>
          <w:u w:val="single"/>
        </w:rPr>
        <w:t>[1990] 1 AC 109</w:t>
      </w:r>
      <w:r w:rsidRPr="008A688A">
        <w:rPr>
          <w:rFonts w:eastAsia="Verdana" w:cs="Verdana"/>
          <w:color w:val="000000" w:themeColor="text1"/>
        </w:rPr>
        <w:t> at 281 Lord Goff formulated the general principle underlying BoC as follows: "</w:t>
      </w:r>
      <w:r w:rsidRPr="008A688A">
        <w:rPr>
          <w:rFonts w:eastAsia="Verdana" w:cs="Verdana"/>
          <w:i/>
          <w:color w:val="000000" w:themeColor="text1"/>
        </w:rPr>
        <w:t>I start with the broad general principle (which I do not intend in any way to be definitive) that a duty of confidence arises when confidential information comes to the knowledge of a person (the confidant) in circumstances where he has notice, or is held to have agreed, that the information is confidential, </w:t>
      </w:r>
      <w:r w:rsidRPr="008A688A">
        <w:rPr>
          <w:rFonts w:eastAsia="Verdana" w:cs="Verdana"/>
          <w:i/>
          <w:color w:val="000000" w:themeColor="text1"/>
          <w:u w:val="single"/>
        </w:rPr>
        <w:t>with the effect that it would be just in all the circumstances that he should be precluded from disclosing the information to others</w:t>
      </w:r>
      <w:r w:rsidRPr="008A688A">
        <w:rPr>
          <w:rFonts w:eastAsia="Verdana" w:cs="Verdana"/>
          <w:color w:val="000000" w:themeColor="text1"/>
        </w:rPr>
        <w:t>." (emphasis added).</w:t>
      </w:r>
    </w:p>
    <w:p w14:paraId="6BB2560F" w14:textId="77777777" w:rsidR="001B0D87" w:rsidRPr="008A688A" w:rsidRDefault="001B0D87" w:rsidP="001B0D87">
      <w:pPr>
        <w:rPr>
          <w:rFonts w:eastAsia="Verdana" w:cs="Verdana"/>
          <w:color w:val="000000" w:themeColor="text1"/>
        </w:rPr>
      </w:pPr>
    </w:p>
    <w:p w14:paraId="339C7410" w14:textId="77777777" w:rsidR="001B0D87" w:rsidRPr="008A688A" w:rsidRDefault="001B0D87" w:rsidP="001B0D87">
      <w:pPr>
        <w:numPr>
          <w:ilvl w:val="0"/>
          <w:numId w:val="7"/>
        </w:numPr>
        <w:ind w:left="0"/>
        <w:rPr>
          <w:rFonts w:eastAsia="Verdana" w:cs="Verdana"/>
          <w:color w:val="000000" w:themeColor="text1"/>
        </w:rPr>
      </w:pPr>
      <w:r w:rsidRPr="008A688A">
        <w:rPr>
          <w:rFonts w:eastAsia="Verdana" w:cs="Verdana"/>
          <w:color w:val="000000" w:themeColor="text1"/>
        </w:rPr>
        <w:t>Similarly, Lord Neuberger in </w:t>
      </w:r>
      <w:r w:rsidRPr="008A688A">
        <w:rPr>
          <w:rFonts w:eastAsia="Verdana" w:cs="Verdana"/>
          <w:color w:val="000000" w:themeColor="text1"/>
          <w:u w:val="single"/>
        </w:rPr>
        <w:t xml:space="preserve">Vestergaard Frandsen A/S v </w:t>
      </w:r>
      <w:proofErr w:type="spellStart"/>
      <w:r w:rsidRPr="008A688A">
        <w:rPr>
          <w:rFonts w:eastAsia="Verdana" w:cs="Verdana"/>
          <w:color w:val="000000" w:themeColor="text1"/>
          <w:u w:val="single"/>
        </w:rPr>
        <w:t>Bestnet</w:t>
      </w:r>
      <w:proofErr w:type="spellEnd"/>
      <w:r w:rsidRPr="008A688A">
        <w:rPr>
          <w:rFonts w:eastAsia="Verdana" w:cs="Verdana"/>
          <w:color w:val="000000" w:themeColor="text1"/>
          <w:u w:val="single"/>
        </w:rPr>
        <w:t xml:space="preserve"> Europe Ltd [2013] 1 WLR 1556</w:t>
      </w:r>
      <w:r w:rsidRPr="008A688A">
        <w:rPr>
          <w:rFonts w:eastAsia="Verdana" w:cs="Verdana"/>
          <w:color w:val="000000" w:themeColor="text1"/>
        </w:rPr>
        <w:t> at [23], referred to "</w:t>
      </w:r>
      <w:r w:rsidRPr="008A688A">
        <w:rPr>
          <w:rFonts w:eastAsia="Verdana" w:cs="Verdana"/>
          <w:i/>
          <w:color w:val="000000" w:themeColor="text1"/>
        </w:rPr>
        <w:t>[t]he classic case of breach of confidence involves the claimant's confidential information, such as a trade secret, </w:t>
      </w:r>
      <w:r w:rsidRPr="008A688A">
        <w:rPr>
          <w:rFonts w:eastAsia="Verdana" w:cs="Verdana"/>
          <w:i/>
          <w:color w:val="000000" w:themeColor="text1"/>
          <w:u w:val="single"/>
        </w:rPr>
        <w:t>being used inconsistently with its confidential nature by a defendant</w:t>
      </w:r>
      <w:r w:rsidRPr="008A688A">
        <w:rPr>
          <w:rFonts w:eastAsia="Verdana" w:cs="Verdana"/>
          <w:i/>
          <w:color w:val="000000" w:themeColor="text1"/>
        </w:rPr>
        <w:t>, who received it in circumstances where she had agreed, or ought to have appreciated, that it was confidential …</w:t>
      </w:r>
      <w:r w:rsidRPr="008A688A">
        <w:rPr>
          <w:rFonts w:eastAsia="Verdana" w:cs="Verdana"/>
          <w:color w:val="000000" w:themeColor="text1"/>
        </w:rPr>
        <w:t xml:space="preserve">" (emphasis added). To this one might add Lord Neuberger MR's summary of the circumstances in which an </w:t>
      </w:r>
      <w:proofErr w:type="spellStart"/>
      <w:r w:rsidRPr="008A688A">
        <w:rPr>
          <w:rFonts w:eastAsia="Verdana" w:cs="Verdana"/>
          <w:color w:val="000000" w:themeColor="text1"/>
        </w:rPr>
        <w:t>unauthorised</w:t>
      </w:r>
      <w:proofErr w:type="spellEnd"/>
      <w:r w:rsidRPr="008A688A">
        <w:rPr>
          <w:rFonts w:eastAsia="Verdana" w:cs="Verdana"/>
          <w:color w:val="000000" w:themeColor="text1"/>
        </w:rPr>
        <w:t xml:space="preserve"> use might be identified in </w:t>
      </w:r>
      <w:r w:rsidRPr="008A688A">
        <w:rPr>
          <w:rFonts w:eastAsia="Verdana" w:cs="Verdana"/>
          <w:color w:val="000000" w:themeColor="text1"/>
          <w:u w:val="single"/>
        </w:rPr>
        <w:t xml:space="preserve">Imerman v </w:t>
      </w:r>
      <w:proofErr w:type="spellStart"/>
      <w:r w:rsidRPr="008A688A">
        <w:rPr>
          <w:rFonts w:eastAsia="Verdana" w:cs="Verdana"/>
          <w:color w:val="000000" w:themeColor="text1"/>
          <w:u w:val="single"/>
        </w:rPr>
        <w:t>Tchenguiz</w:t>
      </w:r>
      <w:proofErr w:type="spellEnd"/>
      <w:r w:rsidRPr="008A688A">
        <w:rPr>
          <w:rFonts w:eastAsia="Verdana" w:cs="Verdana"/>
          <w:color w:val="000000" w:themeColor="text1"/>
        </w:rPr>
        <w:t> </w:t>
      </w:r>
      <w:r w:rsidRPr="008A688A">
        <w:rPr>
          <w:rFonts w:eastAsia="Verdana" w:cs="Verdana"/>
          <w:color w:val="000000" w:themeColor="text1"/>
          <w:u w:val="single"/>
        </w:rPr>
        <w:t>[2011] Fam 116</w:t>
      </w:r>
      <w:r w:rsidRPr="008A688A">
        <w:rPr>
          <w:rFonts w:eastAsia="Verdana" w:cs="Verdana"/>
          <w:color w:val="000000" w:themeColor="text1"/>
        </w:rPr>
        <w:t> at [69].</w:t>
      </w:r>
    </w:p>
    <w:p w14:paraId="141D51F9" w14:textId="77777777" w:rsidR="001B0D87" w:rsidRPr="008A688A" w:rsidRDefault="001B0D87" w:rsidP="001B0D87">
      <w:pPr>
        <w:rPr>
          <w:rFonts w:eastAsia="Verdana" w:cs="Verdana"/>
          <w:color w:val="000000" w:themeColor="text1"/>
        </w:rPr>
      </w:pPr>
    </w:p>
    <w:p w14:paraId="43DE6DDC" w14:textId="77777777" w:rsidR="001B0D87" w:rsidRPr="008A688A" w:rsidRDefault="001B0D87" w:rsidP="001B0D87">
      <w:pPr>
        <w:numPr>
          <w:ilvl w:val="0"/>
          <w:numId w:val="9"/>
        </w:numPr>
        <w:ind w:left="0"/>
        <w:rPr>
          <w:rFonts w:eastAsia="Verdana" w:cs="Verdana"/>
          <w:color w:val="000000" w:themeColor="text1"/>
        </w:rPr>
      </w:pPr>
      <w:r w:rsidRPr="008A688A">
        <w:rPr>
          <w:rFonts w:eastAsia="Verdana" w:cs="Verdana"/>
          <w:color w:val="000000" w:themeColor="text1"/>
        </w:rPr>
        <w:t>As a matter of principle, the law is clear that BoC imposes "</w:t>
      </w:r>
      <w:r w:rsidRPr="008A688A">
        <w:rPr>
          <w:rFonts w:eastAsia="Verdana" w:cs="Verdana"/>
          <w:i/>
          <w:color w:val="000000" w:themeColor="text1"/>
        </w:rPr>
        <w:t>a </w:t>
      </w:r>
      <w:r w:rsidRPr="008A688A">
        <w:rPr>
          <w:rFonts w:eastAsia="Verdana" w:cs="Verdana"/>
          <w:i/>
          <w:color w:val="000000" w:themeColor="text1"/>
          <w:u w:val="single"/>
        </w:rPr>
        <w:t>negative obligation</w:t>
      </w:r>
      <w:r w:rsidRPr="008A688A">
        <w:rPr>
          <w:rFonts w:eastAsia="Verdana" w:cs="Verdana"/>
          <w:i/>
          <w:color w:val="000000" w:themeColor="text1"/>
        </w:rPr>
        <w:t> not to </w:t>
      </w:r>
      <w:r w:rsidRPr="008A688A">
        <w:rPr>
          <w:rFonts w:eastAsia="Verdana" w:cs="Verdana"/>
          <w:i/>
          <w:color w:val="000000" w:themeColor="text1"/>
          <w:u w:val="single"/>
        </w:rPr>
        <w:t>disclose</w:t>
      </w:r>
      <w:r w:rsidRPr="008A688A">
        <w:rPr>
          <w:rFonts w:eastAsia="Verdana" w:cs="Verdana"/>
          <w:i/>
          <w:color w:val="000000" w:themeColor="text1"/>
        </w:rPr>
        <w:t> confidential information</w:t>
      </w:r>
      <w:r w:rsidRPr="008A688A">
        <w:rPr>
          <w:rFonts w:eastAsia="Verdana" w:cs="Verdana"/>
          <w:color w:val="000000" w:themeColor="text1"/>
        </w:rPr>
        <w:t>": </w:t>
      </w:r>
      <w:r w:rsidRPr="008A688A">
        <w:rPr>
          <w:rFonts w:eastAsia="Verdana" w:cs="Verdana"/>
          <w:color w:val="000000" w:themeColor="text1"/>
          <w:u w:val="single"/>
        </w:rPr>
        <w:t>Sports Direct International plc v Rangers International Football Club plc</w:t>
      </w:r>
      <w:r w:rsidRPr="008A688A">
        <w:rPr>
          <w:rFonts w:eastAsia="Verdana" w:cs="Verdana"/>
          <w:color w:val="000000" w:themeColor="text1"/>
        </w:rPr>
        <w:t> </w:t>
      </w:r>
      <w:r w:rsidRPr="008A688A">
        <w:rPr>
          <w:rFonts w:eastAsia="Verdana" w:cs="Verdana"/>
          <w:color w:val="000000" w:themeColor="text1"/>
          <w:u w:val="single"/>
        </w:rPr>
        <w:t>[2016] EWHC 85 (Ch)</w:t>
      </w:r>
      <w:r w:rsidRPr="008A688A">
        <w:rPr>
          <w:rFonts w:eastAsia="Verdana" w:cs="Verdana"/>
          <w:color w:val="000000" w:themeColor="text1"/>
        </w:rPr>
        <w:t xml:space="preserve"> at [26], emphasis added. </w:t>
      </w:r>
      <w:proofErr w:type="spellStart"/>
      <w:r w:rsidRPr="008A688A">
        <w:rPr>
          <w:rFonts w:eastAsia="Verdana" w:cs="Verdana"/>
          <w:color w:val="000000" w:themeColor="text1"/>
        </w:rPr>
        <w:t>Megarry</w:t>
      </w:r>
      <w:proofErr w:type="spellEnd"/>
      <w:r w:rsidRPr="008A688A">
        <w:rPr>
          <w:rFonts w:eastAsia="Verdana" w:cs="Verdana"/>
          <w:color w:val="000000" w:themeColor="text1"/>
        </w:rPr>
        <w:t xml:space="preserve"> J's summary of the action in </w:t>
      </w:r>
      <w:r w:rsidRPr="008A688A">
        <w:rPr>
          <w:rFonts w:eastAsia="Verdana" w:cs="Verdana"/>
          <w:color w:val="000000" w:themeColor="text1"/>
          <w:u w:val="single"/>
        </w:rPr>
        <w:t>Coco v AN Clark (Engineers) Ltd</w:t>
      </w:r>
      <w:r w:rsidRPr="008A688A">
        <w:rPr>
          <w:rFonts w:eastAsia="Verdana" w:cs="Verdana"/>
          <w:color w:val="000000" w:themeColor="text1"/>
        </w:rPr>
        <w:t> [1969] FSR 415, 419 is also relevant in this regard:</w:t>
      </w:r>
    </w:p>
    <w:p w14:paraId="472977CC"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"three elements are normally required if, apart from contract, a case of breach of confidence is to succeed. First, the information itself, in the words of Lord Greene, M. R. in the </w:t>
      </w:r>
      <w:r w:rsidRPr="008A688A">
        <w:rPr>
          <w:rFonts w:eastAsia="Verdana" w:cs="Verdana"/>
          <w:i/>
          <w:color w:val="000000" w:themeColor="text1"/>
        </w:rPr>
        <w:t>Saltman</w:t>
      </w:r>
      <w:r w:rsidRPr="008A688A">
        <w:rPr>
          <w:rFonts w:eastAsia="Verdana" w:cs="Verdana"/>
          <w:color w:val="000000" w:themeColor="text1"/>
        </w:rPr>
        <w:t> case on page 215, must "have the necessary quality of confidence about it". Secondly, that information must have been imparted in circumstances importing an obligation of confidence. Thirdly, there must be </w:t>
      </w:r>
      <w:r w:rsidRPr="008A688A">
        <w:rPr>
          <w:rFonts w:eastAsia="Verdana" w:cs="Verdana"/>
          <w:color w:val="000000" w:themeColor="text1"/>
          <w:u w:val="single"/>
        </w:rPr>
        <w:t xml:space="preserve">an </w:t>
      </w:r>
      <w:proofErr w:type="spellStart"/>
      <w:r w:rsidRPr="008A688A">
        <w:rPr>
          <w:rFonts w:eastAsia="Verdana" w:cs="Verdana"/>
          <w:color w:val="000000" w:themeColor="text1"/>
          <w:u w:val="single"/>
        </w:rPr>
        <w:lastRenderedPageBreak/>
        <w:t>unauthorised</w:t>
      </w:r>
      <w:proofErr w:type="spellEnd"/>
      <w:r w:rsidRPr="008A688A">
        <w:rPr>
          <w:rFonts w:eastAsia="Verdana" w:cs="Verdana"/>
          <w:color w:val="000000" w:themeColor="text1"/>
          <w:u w:val="single"/>
        </w:rPr>
        <w:t xml:space="preserve"> use of that information</w:t>
      </w:r>
      <w:r w:rsidRPr="008A688A">
        <w:rPr>
          <w:rFonts w:eastAsia="Verdana" w:cs="Verdana"/>
          <w:color w:val="000000" w:themeColor="text1"/>
        </w:rPr>
        <w:t> to the detriment of the party communicating it." (emphasis added)</w:t>
      </w:r>
    </w:p>
    <w:p w14:paraId="1CE5B603" w14:textId="77777777" w:rsidR="001B0D87" w:rsidRPr="008A688A" w:rsidRDefault="001B0D87" w:rsidP="001B0D87">
      <w:pPr>
        <w:rPr>
          <w:rFonts w:eastAsia="Verdana" w:cs="Verdana"/>
          <w:color w:val="000000" w:themeColor="text1"/>
        </w:rPr>
      </w:pPr>
    </w:p>
    <w:p w14:paraId="33844FF5" w14:textId="77777777" w:rsidR="001B0D87" w:rsidRPr="008A688A" w:rsidRDefault="001B0D87" w:rsidP="001B0D87">
      <w:pPr>
        <w:numPr>
          <w:ilvl w:val="0"/>
          <w:numId w:val="10"/>
        </w:numPr>
        <w:ind w:left="0"/>
        <w:rPr>
          <w:rFonts w:eastAsia="Verdana" w:cs="Verdana"/>
          <w:color w:val="000000" w:themeColor="text1"/>
        </w:rPr>
      </w:pPr>
      <w:r w:rsidRPr="008A688A">
        <w:rPr>
          <w:rFonts w:eastAsia="Verdana" w:cs="Verdana"/>
          <w:color w:val="000000" w:themeColor="text1"/>
        </w:rPr>
        <w:t xml:space="preserve">In my judgment, framing a case as MPI does not assist. That wrong, as is well-known, was developed out of BoC </w:t>
      </w:r>
      <w:proofErr w:type="gramStart"/>
      <w:r w:rsidRPr="008A688A">
        <w:rPr>
          <w:rFonts w:eastAsia="Verdana" w:cs="Verdana"/>
          <w:color w:val="000000" w:themeColor="text1"/>
        </w:rPr>
        <w:t>in order to</w:t>
      </w:r>
      <w:proofErr w:type="gramEnd"/>
      <w:r w:rsidRPr="008A688A">
        <w:rPr>
          <w:rFonts w:eastAsia="Verdana" w:cs="Verdana"/>
          <w:color w:val="000000" w:themeColor="text1"/>
        </w:rPr>
        <w:t xml:space="preserve"> comply with obligations under the Human Rights Act 1998: </w:t>
      </w:r>
      <w:r w:rsidRPr="008A688A">
        <w:rPr>
          <w:rFonts w:eastAsia="Verdana" w:cs="Verdana"/>
          <w:color w:val="000000" w:themeColor="text1"/>
          <w:u w:val="single"/>
        </w:rPr>
        <w:t>Murray v Express Newspapers</w:t>
      </w:r>
      <w:r w:rsidRPr="008A688A">
        <w:rPr>
          <w:rFonts w:eastAsia="Verdana" w:cs="Verdana"/>
          <w:color w:val="000000" w:themeColor="text1"/>
        </w:rPr>
        <w:t> </w:t>
      </w:r>
      <w:r w:rsidRPr="008A688A">
        <w:rPr>
          <w:rFonts w:eastAsia="Verdana" w:cs="Verdana"/>
          <w:color w:val="000000" w:themeColor="text1"/>
          <w:u w:val="single"/>
        </w:rPr>
        <w:t>[2009] Ch 481</w:t>
      </w:r>
      <w:r w:rsidRPr="008A688A">
        <w:rPr>
          <w:rFonts w:eastAsia="Verdana" w:cs="Verdana"/>
          <w:color w:val="000000" w:themeColor="text1"/>
        </w:rPr>
        <w:t> at [24]-[28]. MPI also imposes an obligation not to </w:t>
      </w:r>
      <w:r w:rsidRPr="008A688A">
        <w:rPr>
          <w:rFonts w:eastAsia="Verdana" w:cs="Verdana"/>
          <w:i/>
          <w:color w:val="000000" w:themeColor="text1"/>
        </w:rPr>
        <w:t>misuse</w:t>
      </w:r>
      <w:r w:rsidRPr="008A688A">
        <w:rPr>
          <w:rFonts w:eastAsia="Verdana" w:cs="Verdana"/>
          <w:color w:val="000000" w:themeColor="text1"/>
        </w:rPr>
        <w:t> private information.</w:t>
      </w:r>
    </w:p>
    <w:p w14:paraId="75FC2CB0" w14:textId="77777777" w:rsidR="001B0D87" w:rsidRPr="008A688A" w:rsidRDefault="001B0D87" w:rsidP="001B0D87">
      <w:pPr>
        <w:rPr>
          <w:rFonts w:eastAsia="Verdana" w:cs="Verdana"/>
          <w:color w:val="000000" w:themeColor="text1"/>
        </w:rPr>
      </w:pPr>
    </w:p>
    <w:p w14:paraId="664B4F1A" w14:textId="77777777" w:rsidR="001B0D87" w:rsidRPr="008A688A" w:rsidRDefault="001B0D87" w:rsidP="001B0D87">
      <w:pPr>
        <w:numPr>
          <w:ilvl w:val="0"/>
          <w:numId w:val="11"/>
        </w:numPr>
        <w:ind w:left="0"/>
        <w:rPr>
          <w:rFonts w:eastAsia="Verdana" w:cs="Verdana"/>
          <w:color w:val="000000" w:themeColor="text1"/>
        </w:rPr>
      </w:pPr>
      <w:r w:rsidRPr="008A688A">
        <w:rPr>
          <w:rFonts w:eastAsia="Verdana" w:cs="Verdana"/>
          <w:color w:val="000000" w:themeColor="text1"/>
        </w:rPr>
        <w:t>I accept that a 'misuse' may include unintentional use, but it still requires a 'use': that is, a positive action. In the language of Article 8 ECHR (the basis for the MPI tort), there must be an 'interference' by the defendant, which falls to be justified. I have not overlooked the Claimant's argument that the conduct of DSG was "tantamount to publication". Although it was attractively presented, I do not find it persuasive. If a burglar enters my home through an open window (carelessly left open by me) and steals my son's bank statements, it makes little sense to describe this as a "misuse of private information" by me. Recharacterizing my failure to lock the window as "publication" of the statements is wholly artificial. It is an unconvincing attempt to shoehorn the facts of the data breach into the tort of MPI.</w:t>
      </w:r>
    </w:p>
    <w:p w14:paraId="72267953" w14:textId="77777777" w:rsidR="001B0D87" w:rsidRPr="008A688A" w:rsidRDefault="001B0D87" w:rsidP="001B0D87">
      <w:pPr>
        <w:rPr>
          <w:rFonts w:eastAsia="Verdana" w:cs="Verdana"/>
          <w:color w:val="000000" w:themeColor="text1"/>
        </w:rPr>
      </w:pPr>
    </w:p>
    <w:p w14:paraId="49096009" w14:textId="77777777" w:rsidR="001B0D87" w:rsidRPr="008A688A" w:rsidRDefault="001B0D87" w:rsidP="001B0D87">
      <w:pPr>
        <w:numPr>
          <w:ilvl w:val="0"/>
          <w:numId w:val="15"/>
        </w:numPr>
        <w:ind w:left="0"/>
        <w:rPr>
          <w:rFonts w:eastAsia="Verdana" w:cs="Verdana"/>
          <w:color w:val="000000" w:themeColor="text1"/>
        </w:rPr>
      </w:pPr>
      <w:r w:rsidRPr="008A688A">
        <w:rPr>
          <w:rFonts w:eastAsia="Verdana" w:cs="Verdana"/>
          <w:color w:val="000000" w:themeColor="text1"/>
        </w:rPr>
        <w:t>I would add that the absence of any data security duty has been noted in leading textbooks. So, it is said in </w:t>
      </w:r>
      <w:r w:rsidRPr="008A688A">
        <w:rPr>
          <w:rFonts w:eastAsia="Verdana" w:cs="Verdana"/>
          <w:i/>
          <w:color w:val="000000" w:themeColor="text1"/>
        </w:rPr>
        <w:t>Toulson &amp; Phipps</w:t>
      </w:r>
      <w:r w:rsidRPr="008A688A">
        <w:rPr>
          <w:rFonts w:eastAsia="Verdana" w:cs="Verdana"/>
          <w:color w:val="000000" w:themeColor="text1"/>
        </w:rPr>
        <w:t> at §5-011:</w:t>
      </w:r>
    </w:p>
    <w:p w14:paraId="07B60EEB"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"There is a distinction between an equitable duty of confidentiality and a duty to take care to prevent confidential information or documents from falling into the hands of someone else. </w:t>
      </w:r>
      <w:r w:rsidRPr="008A688A">
        <w:rPr>
          <w:rFonts w:eastAsia="Verdana" w:cs="Verdana"/>
          <w:color w:val="000000" w:themeColor="text1"/>
          <w:u w:val="single"/>
        </w:rPr>
        <w:t>The former is an obligation of conscience, which requires the recipient not to misuse the information or documents. The latter is a duty of a different character</w:t>
      </w:r>
      <w:r w:rsidRPr="008A688A">
        <w:rPr>
          <w:rFonts w:eastAsia="Verdana" w:cs="Verdana"/>
          <w:color w:val="000000" w:themeColor="text1"/>
        </w:rPr>
        <w:t> and is not an automatic concomitant of the former. In the absence of a relevant contract, </w:t>
      </w:r>
      <w:r w:rsidRPr="008A688A">
        <w:rPr>
          <w:rFonts w:eastAsia="Verdana" w:cs="Verdana"/>
          <w:color w:val="000000" w:themeColor="text1"/>
          <w:u w:val="single"/>
        </w:rPr>
        <w:t>it will arise only if there is a special relationship between the parties giving rise to a duty of care under the law of negligence</w:t>
      </w:r>
      <w:r w:rsidRPr="008A688A">
        <w:rPr>
          <w:rFonts w:eastAsia="Verdana" w:cs="Verdana"/>
          <w:color w:val="000000" w:themeColor="text1"/>
        </w:rPr>
        <w:t>." (emphasis added)</w:t>
      </w:r>
    </w:p>
    <w:p w14:paraId="6E66F215" w14:textId="77777777" w:rsidR="001B0D87" w:rsidRPr="008A688A" w:rsidRDefault="001B0D87" w:rsidP="001B0D87">
      <w:pPr>
        <w:rPr>
          <w:rFonts w:eastAsia="Verdana" w:cs="Verdana"/>
          <w:color w:val="000000" w:themeColor="text1"/>
        </w:rPr>
      </w:pPr>
    </w:p>
    <w:p w14:paraId="7E620FFA" w14:textId="77777777" w:rsidR="001B0D87" w:rsidRPr="008A688A" w:rsidRDefault="001B0D87" w:rsidP="001B0D87">
      <w:pPr>
        <w:numPr>
          <w:ilvl w:val="0"/>
          <w:numId w:val="16"/>
        </w:numPr>
        <w:ind w:left="0"/>
        <w:rPr>
          <w:rFonts w:eastAsia="Verdana" w:cs="Verdana"/>
          <w:color w:val="000000" w:themeColor="text1"/>
        </w:rPr>
      </w:pPr>
      <w:bookmarkStart w:id="4" w:name="bookmark=id.1hmsyys" w:colFirst="0" w:colLast="0"/>
      <w:bookmarkEnd w:id="4"/>
      <w:r w:rsidRPr="008A688A">
        <w:rPr>
          <w:rFonts w:eastAsia="Verdana" w:cs="Verdana"/>
          <w:color w:val="000000" w:themeColor="text1"/>
        </w:rPr>
        <w:t>And see similarly </w:t>
      </w:r>
      <w:r w:rsidRPr="008A688A">
        <w:rPr>
          <w:rFonts w:eastAsia="Verdana" w:cs="Verdana"/>
          <w:i/>
          <w:color w:val="000000" w:themeColor="text1"/>
        </w:rPr>
        <w:t>Gurry on Breach of Confidence</w:t>
      </w:r>
      <w:r w:rsidRPr="008A688A">
        <w:rPr>
          <w:rFonts w:eastAsia="Verdana" w:cs="Verdana"/>
          <w:color w:val="000000" w:themeColor="text1"/>
        </w:rPr>
        <w:t>, 2</w:t>
      </w:r>
      <w:r w:rsidRPr="008A688A">
        <w:rPr>
          <w:rFonts w:eastAsia="Verdana" w:cs="Verdana"/>
          <w:color w:val="000000" w:themeColor="text1"/>
          <w:vertAlign w:val="superscript"/>
        </w:rPr>
        <w:t>nd</w:t>
      </w:r>
      <w:r w:rsidRPr="008A688A">
        <w:rPr>
          <w:rFonts w:eastAsia="Verdana" w:cs="Verdana"/>
          <w:color w:val="000000" w:themeColor="text1"/>
        </w:rPr>
        <w:t> ed., §15.41:</w:t>
      </w:r>
    </w:p>
    <w:p w14:paraId="130BEFDF"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 xml:space="preserve">"Strict liability for misuse of information by a defendant also serves to distinguish the duty of confidence from a duty of care. Negligence on the part of a defendant is relevant in determining whether a duty of confidence has been broken only if the negligence results in an </w:t>
      </w:r>
      <w:proofErr w:type="spellStart"/>
      <w:r w:rsidRPr="008A688A">
        <w:rPr>
          <w:rFonts w:eastAsia="Verdana" w:cs="Verdana"/>
          <w:color w:val="000000" w:themeColor="text1"/>
        </w:rPr>
        <w:t>unauthorised</w:t>
      </w:r>
      <w:proofErr w:type="spellEnd"/>
      <w:r w:rsidRPr="008A688A">
        <w:rPr>
          <w:rFonts w:eastAsia="Verdana" w:cs="Verdana"/>
          <w:color w:val="000000" w:themeColor="text1"/>
        </w:rPr>
        <w:t xml:space="preserve"> use or disclosure of the confidential information. Care on the part of the defendant is not the measure by which it is assessed whether a duty of confidence has been discharged."</w:t>
      </w:r>
    </w:p>
    <w:p w14:paraId="4BFDEFD7" w14:textId="77777777" w:rsidR="001B0D87" w:rsidRPr="008A688A" w:rsidRDefault="001B0D87" w:rsidP="001B0D87">
      <w:pPr>
        <w:rPr>
          <w:rFonts w:eastAsia="Verdana" w:cs="Verdana"/>
          <w:color w:val="000000" w:themeColor="text1"/>
        </w:rPr>
      </w:pPr>
    </w:p>
    <w:p w14:paraId="67E6DCED" w14:textId="77777777" w:rsidR="001B0D87" w:rsidRPr="008A688A" w:rsidRDefault="001B0D87" w:rsidP="001B0D87">
      <w:pPr>
        <w:numPr>
          <w:ilvl w:val="0"/>
          <w:numId w:val="17"/>
        </w:numPr>
        <w:ind w:left="0"/>
        <w:rPr>
          <w:rFonts w:eastAsia="Verdana" w:cs="Verdana"/>
          <w:color w:val="000000" w:themeColor="text1"/>
        </w:rPr>
      </w:pPr>
      <w:r w:rsidRPr="008A688A">
        <w:rPr>
          <w:rFonts w:eastAsia="Verdana" w:cs="Verdana"/>
          <w:color w:val="000000" w:themeColor="text1"/>
        </w:rPr>
        <w:t>Finally, I note that the existence or otherwise of a duty to protect the claimant from the actions of a third party in causes of action for BoC and MPI arose for decision in </w:t>
      </w:r>
      <w:r w:rsidRPr="008A688A">
        <w:rPr>
          <w:rFonts w:eastAsia="Verdana" w:cs="Verdana"/>
          <w:color w:val="000000" w:themeColor="text1"/>
          <w:u w:val="single"/>
        </w:rPr>
        <w:t>Various Claimants v Wm Morrison Supermarkets plc</w:t>
      </w:r>
      <w:r w:rsidRPr="008A688A">
        <w:rPr>
          <w:rFonts w:eastAsia="Verdana" w:cs="Verdana"/>
          <w:color w:val="000000" w:themeColor="text1"/>
        </w:rPr>
        <w:t> </w:t>
      </w:r>
      <w:r w:rsidRPr="008A688A">
        <w:rPr>
          <w:rFonts w:eastAsia="Verdana" w:cs="Verdana"/>
          <w:color w:val="000000" w:themeColor="text1"/>
          <w:u w:val="single"/>
        </w:rPr>
        <w:t>[2019] QB 772</w:t>
      </w:r>
      <w:r w:rsidRPr="008A688A">
        <w:rPr>
          <w:rFonts w:eastAsia="Verdana" w:cs="Verdana"/>
          <w:color w:val="000000" w:themeColor="text1"/>
        </w:rPr>
        <w:t>. In that case a wrongdoer employee copied personal data of Morrisons' employees and later disclosed it online. The Claimants, individuals whose data had been disclosed online, sued Morrisons in BoC, MPI, and for breach of the DPPs. The Court held that the actions of the wrongdoer employee (</w:t>
      </w:r>
      <w:proofErr w:type="spellStart"/>
      <w:r w:rsidRPr="008A688A">
        <w:rPr>
          <w:rFonts w:eastAsia="Verdana" w:cs="Verdana"/>
          <w:color w:val="000000" w:themeColor="text1"/>
        </w:rPr>
        <w:t>Mr</w:t>
      </w:r>
      <w:proofErr w:type="spellEnd"/>
      <w:r w:rsidRPr="008A688A">
        <w:rPr>
          <w:rFonts w:eastAsia="Verdana" w:cs="Verdana"/>
          <w:color w:val="000000" w:themeColor="text1"/>
        </w:rPr>
        <w:t xml:space="preserve"> Skelton) could not found direct liability on Morrisons other than in relation to DPP7. </w:t>
      </w:r>
      <w:proofErr w:type="spellStart"/>
      <w:r w:rsidRPr="008A688A">
        <w:rPr>
          <w:rFonts w:eastAsia="Verdana" w:cs="Verdana"/>
          <w:color w:val="000000" w:themeColor="text1"/>
        </w:rPr>
        <w:t>Mr</w:t>
      </w:r>
      <w:proofErr w:type="spellEnd"/>
      <w:r w:rsidRPr="008A688A">
        <w:rPr>
          <w:rFonts w:eastAsia="Verdana" w:cs="Verdana"/>
          <w:color w:val="000000" w:themeColor="text1"/>
        </w:rPr>
        <w:t xml:space="preserve"> Skelton was the wrongful actor, and (save for the data security duty imposed by DPP7), any such causes of action were good only against him. As Langstaff J explained:</w:t>
      </w:r>
    </w:p>
    <w:p w14:paraId="1EB6576D" w14:textId="77777777" w:rsidR="001B0D87" w:rsidRPr="008A688A" w:rsidRDefault="001B0D87" w:rsidP="001B0D87">
      <w:pPr>
        <w:rPr>
          <w:rFonts w:eastAsia="Verdana" w:cs="Verdana"/>
          <w:color w:val="000000" w:themeColor="text1"/>
        </w:rPr>
      </w:pPr>
    </w:p>
    <w:p w14:paraId="5444B694"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"65. The short answer therefore, to the claim that Morrisons is liable under the DPP for having broken the data protection principles (other than DPP7) is that </w:t>
      </w:r>
      <w:r w:rsidRPr="008A688A">
        <w:rPr>
          <w:rFonts w:eastAsia="Verdana" w:cs="Verdana"/>
          <w:color w:val="000000" w:themeColor="text1"/>
          <w:u w:val="single"/>
        </w:rPr>
        <w:t>it did not, as data controller, itself offend against those principles. The acts said to break those principles were those of a third party, and not its own.</w:t>
      </w:r>
    </w:p>
    <w:p w14:paraId="6B1D3EA1"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66. Similarly, </w:t>
      </w:r>
      <w:r w:rsidRPr="008A688A">
        <w:rPr>
          <w:rFonts w:eastAsia="Verdana" w:cs="Verdana"/>
          <w:color w:val="000000" w:themeColor="text1"/>
          <w:u w:val="single"/>
        </w:rPr>
        <w:t>the assertion that there is direct liability in respect of breach of confidence or misuse of private information also fails: it was not Morrisons that disclosed the information or misused it: it was Skelton, acting without authority and criminally</w:t>
      </w:r>
      <w:r w:rsidRPr="008A688A">
        <w:rPr>
          <w:rFonts w:eastAsia="Verdana" w:cs="Verdana"/>
          <w:color w:val="000000" w:themeColor="text1"/>
        </w:rPr>
        <w:t>." (emphasis added)</w:t>
      </w:r>
    </w:p>
    <w:p w14:paraId="5BF891C9" w14:textId="77777777" w:rsidR="001B0D87" w:rsidRPr="008A688A" w:rsidRDefault="001B0D87" w:rsidP="001B0D87">
      <w:pPr>
        <w:rPr>
          <w:rFonts w:eastAsia="Verdana" w:cs="Verdana"/>
          <w:color w:val="000000" w:themeColor="text1"/>
        </w:rPr>
      </w:pPr>
    </w:p>
    <w:p w14:paraId="69FDAA0D" w14:textId="77777777" w:rsidR="001B0D87" w:rsidRPr="008A688A" w:rsidRDefault="001B0D87" w:rsidP="001B0D87">
      <w:pPr>
        <w:rPr>
          <w:rFonts w:eastAsia="Verdana" w:cs="Verdana"/>
          <w:color w:val="000000" w:themeColor="text1"/>
        </w:rPr>
      </w:pPr>
      <w:r w:rsidRPr="008A688A">
        <w:rPr>
          <w:rFonts w:eastAsia="Verdana" w:cs="Verdana"/>
          <w:color w:val="000000" w:themeColor="text1"/>
        </w:rPr>
        <w:t>***</w:t>
      </w:r>
    </w:p>
    <w:p w14:paraId="4371B35A" w14:textId="77777777" w:rsidR="001B0D87" w:rsidRPr="008A688A" w:rsidRDefault="001B0D87" w:rsidP="001B0D87">
      <w:pPr>
        <w:rPr>
          <w:rFonts w:eastAsia="Verdana" w:cs="Verdana"/>
          <w:color w:val="000000" w:themeColor="text1"/>
        </w:rPr>
      </w:pPr>
    </w:p>
    <w:p w14:paraId="7BFA5C7B" w14:textId="77777777" w:rsidR="001B0D87" w:rsidRPr="008A688A" w:rsidRDefault="001B0D87" w:rsidP="001B0D87">
      <w:pPr>
        <w:numPr>
          <w:ilvl w:val="0"/>
          <w:numId w:val="18"/>
        </w:numPr>
        <w:ind w:left="0"/>
        <w:rPr>
          <w:rFonts w:eastAsia="Verdana" w:cs="Verdana"/>
          <w:color w:val="000000" w:themeColor="text1"/>
        </w:rPr>
      </w:pPr>
      <w:r w:rsidRPr="008A688A">
        <w:rPr>
          <w:rFonts w:eastAsia="Verdana" w:cs="Verdana"/>
          <w:color w:val="000000" w:themeColor="text1"/>
        </w:rPr>
        <w:t xml:space="preserve">For these reasons, I accept DSG's submission that the Claimant's claims in BoC and MPI are ill-founded. Those causes of action do not impose a data security duty upon DSG but that is what </w:t>
      </w:r>
      <w:proofErr w:type="gramStart"/>
      <w:r w:rsidRPr="008A688A">
        <w:rPr>
          <w:rFonts w:eastAsia="Verdana" w:cs="Verdana"/>
          <w:color w:val="000000" w:themeColor="text1"/>
        </w:rPr>
        <w:t>in reality is</w:t>
      </w:r>
      <w:proofErr w:type="gramEnd"/>
      <w:r w:rsidRPr="008A688A">
        <w:rPr>
          <w:rFonts w:eastAsia="Verdana" w:cs="Verdana"/>
          <w:color w:val="000000" w:themeColor="text1"/>
        </w:rPr>
        <w:t xml:space="preserve"> being claimed. They have no realistic prospect of success </w:t>
      </w:r>
      <w:proofErr w:type="gramStart"/>
      <w:r w:rsidRPr="008A688A">
        <w:rPr>
          <w:rFonts w:eastAsia="Verdana" w:cs="Verdana"/>
          <w:color w:val="000000" w:themeColor="text1"/>
        </w:rPr>
        <w:t>and also</w:t>
      </w:r>
      <w:proofErr w:type="gramEnd"/>
      <w:r w:rsidRPr="008A688A">
        <w:rPr>
          <w:rFonts w:eastAsia="Verdana" w:cs="Verdana"/>
          <w:color w:val="000000" w:themeColor="text1"/>
        </w:rPr>
        <w:t xml:space="preserve"> fall to be struck out based on the pleaded case.</w:t>
      </w:r>
    </w:p>
    <w:p w14:paraId="610A3498" w14:textId="77777777" w:rsidR="00865EB2" w:rsidRDefault="00865EB2"/>
    <w:sectPr w:rsidR="0086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B4A"/>
    <w:multiLevelType w:val="multilevel"/>
    <w:tmpl w:val="F6BAC00E"/>
    <w:lvl w:ilvl="0">
      <w:start w:val="2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FF61B6"/>
    <w:multiLevelType w:val="multilevel"/>
    <w:tmpl w:val="871A9138"/>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776C20"/>
    <w:multiLevelType w:val="multilevel"/>
    <w:tmpl w:val="CB32D8CC"/>
    <w:lvl w:ilvl="0">
      <w:start w:val="1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B63538"/>
    <w:multiLevelType w:val="multilevel"/>
    <w:tmpl w:val="E642328C"/>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8FF06E6"/>
    <w:multiLevelType w:val="multilevel"/>
    <w:tmpl w:val="939419E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E11947"/>
    <w:multiLevelType w:val="multilevel"/>
    <w:tmpl w:val="C6043962"/>
    <w:lvl w:ilvl="0">
      <w:start w:val="3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8E450C0"/>
    <w:multiLevelType w:val="multilevel"/>
    <w:tmpl w:val="3126D6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A20FCD"/>
    <w:multiLevelType w:val="multilevel"/>
    <w:tmpl w:val="98326370"/>
    <w:lvl w:ilvl="0">
      <w:start w:val="2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F1B7961"/>
    <w:multiLevelType w:val="multilevel"/>
    <w:tmpl w:val="966C47E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14D4ABE"/>
    <w:multiLevelType w:val="multilevel"/>
    <w:tmpl w:val="59687D2C"/>
    <w:lvl w:ilvl="0">
      <w:start w:val="2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3787508"/>
    <w:multiLevelType w:val="multilevel"/>
    <w:tmpl w:val="00982418"/>
    <w:lvl w:ilvl="0">
      <w:start w:val="1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4BC75A0"/>
    <w:multiLevelType w:val="multilevel"/>
    <w:tmpl w:val="95508848"/>
    <w:lvl w:ilvl="0">
      <w:start w:val="2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7047B76"/>
    <w:multiLevelType w:val="multilevel"/>
    <w:tmpl w:val="507C1D00"/>
    <w:lvl w:ilvl="0">
      <w:start w:val="2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B8958B8"/>
    <w:multiLevelType w:val="multilevel"/>
    <w:tmpl w:val="C77C58CE"/>
    <w:lvl w:ilvl="0">
      <w:start w:val="2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C1D6904"/>
    <w:multiLevelType w:val="multilevel"/>
    <w:tmpl w:val="315AC7BC"/>
    <w:lvl w:ilvl="0">
      <w:start w:val="2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E853212"/>
    <w:multiLevelType w:val="multilevel"/>
    <w:tmpl w:val="3D5A06D0"/>
    <w:lvl w:ilvl="0">
      <w:start w:val="3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3B233FA"/>
    <w:multiLevelType w:val="multilevel"/>
    <w:tmpl w:val="85B8898A"/>
    <w:lvl w:ilvl="0">
      <w:start w:val="2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D2D0C58"/>
    <w:multiLevelType w:val="multilevel"/>
    <w:tmpl w:val="74AECF56"/>
    <w:lvl w:ilvl="0">
      <w:start w:val="2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81746427">
    <w:abstractNumId w:val="1"/>
  </w:num>
  <w:num w:numId="2" w16cid:durableId="801388332">
    <w:abstractNumId w:val="10"/>
  </w:num>
  <w:num w:numId="3" w16cid:durableId="393625223">
    <w:abstractNumId w:val="2"/>
  </w:num>
  <w:num w:numId="4" w16cid:durableId="1171488321">
    <w:abstractNumId w:val="3"/>
  </w:num>
  <w:num w:numId="5" w16cid:durableId="872422855">
    <w:abstractNumId w:val="14"/>
  </w:num>
  <w:num w:numId="6" w16cid:durableId="962226018">
    <w:abstractNumId w:val="7"/>
  </w:num>
  <w:num w:numId="7" w16cid:durableId="1107459905">
    <w:abstractNumId w:val="13"/>
  </w:num>
  <w:num w:numId="8" w16cid:durableId="1120731642">
    <w:abstractNumId w:val="0"/>
  </w:num>
  <w:num w:numId="9" w16cid:durableId="794107313">
    <w:abstractNumId w:val="11"/>
  </w:num>
  <w:num w:numId="10" w16cid:durableId="1722365467">
    <w:abstractNumId w:val="12"/>
  </w:num>
  <w:num w:numId="11" w16cid:durableId="1960643859">
    <w:abstractNumId w:val="9"/>
  </w:num>
  <w:num w:numId="12" w16cid:durableId="1944994772">
    <w:abstractNumId w:val="6"/>
  </w:num>
  <w:num w:numId="13" w16cid:durableId="732316240">
    <w:abstractNumId w:val="4"/>
  </w:num>
  <w:num w:numId="14" w16cid:durableId="448863456">
    <w:abstractNumId w:val="8"/>
  </w:num>
  <w:num w:numId="15" w16cid:durableId="310712976">
    <w:abstractNumId w:val="16"/>
  </w:num>
  <w:num w:numId="16" w16cid:durableId="1535189343">
    <w:abstractNumId w:val="17"/>
  </w:num>
  <w:num w:numId="17" w16cid:durableId="1706713923">
    <w:abstractNumId w:val="5"/>
  </w:num>
  <w:num w:numId="18" w16cid:durableId="660474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87"/>
    <w:rsid w:val="000479DD"/>
    <w:rsid w:val="001B0D87"/>
    <w:rsid w:val="00865EB2"/>
    <w:rsid w:val="008B5EC0"/>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03AF"/>
  <w15:chartTrackingRefBased/>
  <w15:docId w15:val="{22F3EB77-DCFC-4BA6-B4E6-F97FF828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D87"/>
    <w:rPr>
      <w:rFonts w:eastAsia="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10699</Characters>
  <Application>Microsoft Office Word</Application>
  <DocSecurity>0</DocSecurity>
  <Lines>89</Lines>
  <Paragraphs>25</Paragraphs>
  <ScaleCrop>false</ScaleCrop>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2024-01-20T16:41:00Z</dcterms:created>
  <dcterms:modified xsi:type="dcterms:W3CDTF">2024-01-20T16:42:00Z</dcterms:modified>
</cp:coreProperties>
</file>