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0A4F" w14:textId="77777777" w:rsidR="000B0386" w:rsidRPr="003E0431" w:rsidRDefault="000B0386" w:rsidP="000B0386">
      <w:pPr>
        <w:widowControl w:val="0"/>
        <w:autoSpaceDE w:val="0"/>
        <w:autoSpaceDN w:val="0"/>
        <w:adjustRightInd w:val="0"/>
        <w:spacing w:after="0" w:line="240" w:lineRule="auto"/>
        <w:jc w:val="center"/>
        <w:rPr>
          <w:rFonts w:ascii="Verdana" w:hAnsi="Verdana"/>
          <w:color w:val="000000"/>
        </w:rPr>
      </w:pPr>
      <w:r w:rsidRPr="003E0431">
        <w:rPr>
          <w:rFonts w:ascii="Verdana" w:hAnsi="Verdana"/>
          <w:color w:val="000000"/>
        </w:rPr>
        <w:t>Hoffa v. United States</w:t>
      </w:r>
    </w:p>
    <w:p w14:paraId="68F571EE" w14:textId="77777777" w:rsidR="000B0386" w:rsidRPr="003E0431" w:rsidRDefault="000B0386" w:rsidP="000B0386">
      <w:pPr>
        <w:widowControl w:val="0"/>
        <w:autoSpaceDE w:val="0"/>
        <w:autoSpaceDN w:val="0"/>
        <w:adjustRightInd w:val="0"/>
        <w:spacing w:after="0" w:line="240" w:lineRule="auto"/>
        <w:jc w:val="center"/>
        <w:rPr>
          <w:rFonts w:ascii="Verdana" w:hAnsi="Verdana"/>
          <w:color w:val="000000"/>
        </w:rPr>
      </w:pPr>
      <w:r w:rsidRPr="003E0431">
        <w:rPr>
          <w:rFonts w:ascii="Verdana" w:hAnsi="Verdana"/>
          <w:color w:val="000000"/>
        </w:rPr>
        <w:t>385 U.S. 293 (1966)</w:t>
      </w:r>
    </w:p>
    <w:p w14:paraId="2B20B39E" w14:textId="77777777" w:rsidR="000B0386" w:rsidRPr="003E0431" w:rsidRDefault="000B0386" w:rsidP="000B0386">
      <w:pPr>
        <w:widowControl w:val="0"/>
        <w:autoSpaceDE w:val="0"/>
        <w:autoSpaceDN w:val="0"/>
        <w:adjustRightInd w:val="0"/>
        <w:spacing w:after="0" w:line="240" w:lineRule="auto"/>
        <w:jc w:val="center"/>
        <w:rPr>
          <w:rFonts w:ascii="Verdana" w:hAnsi="Verdana"/>
          <w:color w:val="000000"/>
        </w:rPr>
      </w:pPr>
    </w:p>
    <w:p w14:paraId="20978D6A" w14:textId="77777777" w:rsidR="000B0386" w:rsidRPr="003E0431" w:rsidRDefault="000B0386" w:rsidP="000B0386">
      <w:pPr>
        <w:widowControl w:val="0"/>
        <w:autoSpaceDE w:val="0"/>
        <w:autoSpaceDN w:val="0"/>
        <w:adjustRightInd w:val="0"/>
        <w:spacing w:after="0" w:line="240" w:lineRule="auto"/>
        <w:rPr>
          <w:rFonts w:ascii="Verdana" w:hAnsi="Verdana"/>
          <w:color w:val="000000"/>
        </w:rPr>
      </w:pPr>
      <w:r w:rsidRPr="003E0431">
        <w:rPr>
          <w:rFonts w:ascii="Verdana" w:hAnsi="Verdana"/>
          <w:color w:val="000000"/>
        </w:rPr>
        <w:t>Mr. Justice STEWART delivered the opinion of the Court.</w:t>
      </w:r>
    </w:p>
    <w:p w14:paraId="7118ED40"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 xml:space="preserve">Over a period of several weeks in the late autumn of 1962 there took place in a federal court in Nashville, Tennessee, a trial by jury in which James Hoffa was charged with violating a provision of the Taft-Hartley Act. That trial, known in the present record as the Test Fleet trial, ended with a hung jury. The petitioners now before us—James Hoffa, Thomas Parks, Larry Campbell, and Ewing King—were tried and convicted in 1964 for endeavoring to bribe members of that jury. The convictions were affirmed by the Court of Appeals. A substantial element in the Government's proof that led to the convictions of these four petitioners was contributed by a witness named Edward Partin, who testified to several incriminating statements which he said petitioners Hoffa and King had made in his presence </w:t>
      </w:r>
      <w:proofErr w:type="gramStart"/>
      <w:r w:rsidRPr="003E0431">
        <w:rPr>
          <w:rFonts w:ascii="Verdana" w:hAnsi="Verdana"/>
          <w:color w:val="000000"/>
        </w:rPr>
        <w:t>during the course of</w:t>
      </w:r>
      <w:proofErr w:type="gramEnd"/>
      <w:r w:rsidRPr="003E0431">
        <w:rPr>
          <w:rFonts w:ascii="Verdana" w:hAnsi="Verdana"/>
          <w:color w:val="000000"/>
        </w:rPr>
        <w:t xml:space="preserve"> the Test Fleet trial. Our grant of certiorari was limited to the single issue of whether the Government's use in this case of evidence supplied by Partin operated to invalidate these convictions. 382 U.S. 1024, 86 S.Ct. 645, 15 L.Ed.2d 538.</w:t>
      </w:r>
    </w:p>
    <w:p w14:paraId="6452B6F8"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The specific question before us, as framed by counsel for the petitioners, is this:</w:t>
      </w:r>
    </w:p>
    <w:p w14:paraId="544238B6" w14:textId="77777777" w:rsidR="000B0386" w:rsidRPr="003E0431" w:rsidRDefault="000B0386" w:rsidP="000B0386">
      <w:pPr>
        <w:widowControl w:val="0"/>
        <w:autoSpaceDE w:val="0"/>
        <w:autoSpaceDN w:val="0"/>
        <w:adjustRightInd w:val="0"/>
        <w:spacing w:after="0" w:line="240" w:lineRule="auto"/>
        <w:rPr>
          <w:rFonts w:ascii="Verdana" w:hAnsi="Verdana"/>
          <w:color w:val="000000"/>
        </w:rPr>
      </w:pPr>
    </w:p>
    <w:p w14:paraId="0B86782F"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‘Whether evidence obtained by the Government by means of deceptively placing a secret informer in the quarters and councils of a defendant during one criminal trial so violates the defendant's Fourth, Fifth and Sixth Amendment rights that suppression of such evidence is required in a subsequent trial of the same defendant on a different charge.’</w:t>
      </w:r>
    </w:p>
    <w:p w14:paraId="40BD634A" w14:textId="77777777" w:rsidR="000B0386" w:rsidRDefault="000B0386" w:rsidP="000B0386">
      <w:pPr>
        <w:widowControl w:val="0"/>
        <w:autoSpaceDE w:val="0"/>
        <w:autoSpaceDN w:val="0"/>
        <w:adjustRightInd w:val="0"/>
        <w:spacing w:after="0" w:line="240" w:lineRule="auto"/>
        <w:rPr>
          <w:rFonts w:ascii="Verdana" w:hAnsi="Verdana"/>
          <w:color w:val="000000"/>
        </w:rPr>
      </w:pPr>
    </w:p>
    <w:p w14:paraId="3C96DAE9" w14:textId="77777777" w:rsidR="000B0386" w:rsidRDefault="000B0386" w:rsidP="000B0386">
      <w:pPr>
        <w:widowControl w:val="0"/>
        <w:autoSpaceDE w:val="0"/>
        <w:autoSpaceDN w:val="0"/>
        <w:adjustRightInd w:val="0"/>
        <w:spacing w:after="0" w:line="240" w:lineRule="auto"/>
        <w:rPr>
          <w:rFonts w:ascii="Verdana" w:hAnsi="Verdana"/>
          <w:color w:val="000000"/>
        </w:rPr>
      </w:pPr>
      <w:r>
        <w:rPr>
          <w:rFonts w:ascii="Verdana" w:hAnsi="Verdana"/>
          <w:color w:val="000000"/>
        </w:rPr>
        <w:t>***</w:t>
      </w:r>
    </w:p>
    <w:p w14:paraId="0258EBFF" w14:textId="77777777" w:rsidR="000B0386" w:rsidRPr="003E0431" w:rsidRDefault="000B0386" w:rsidP="000B0386">
      <w:pPr>
        <w:widowControl w:val="0"/>
        <w:autoSpaceDE w:val="0"/>
        <w:autoSpaceDN w:val="0"/>
        <w:adjustRightInd w:val="0"/>
        <w:spacing w:after="0" w:line="240" w:lineRule="auto"/>
        <w:rPr>
          <w:rFonts w:ascii="Verdana" w:hAnsi="Verdana"/>
          <w:color w:val="000000"/>
        </w:rPr>
      </w:pPr>
    </w:p>
    <w:p w14:paraId="286256D3"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 xml:space="preserve">The controlling facts can be briefly stated. The Test Fleet trial, in which James Hoffa was the sole individual defendant, was in progress between October 22 and December 23, 1962, in Nashville, Tennessee. James Hoffa was president of the International Brotherhood of Teamsters. During the course of the </w:t>
      </w:r>
      <w:proofErr w:type="gramStart"/>
      <w:r w:rsidRPr="003E0431">
        <w:rPr>
          <w:rFonts w:ascii="Verdana" w:hAnsi="Verdana"/>
          <w:color w:val="000000"/>
        </w:rPr>
        <w:t>trial</w:t>
      </w:r>
      <w:proofErr w:type="gramEnd"/>
      <w:r w:rsidRPr="003E0431">
        <w:rPr>
          <w:rFonts w:ascii="Verdana" w:hAnsi="Verdana"/>
          <w:color w:val="000000"/>
        </w:rPr>
        <w:t xml:space="preserve"> he occupied a three-room suite in the Andrew Jackson Hotel in Nashville. One of his constant companions throughout the trial was the petitioner King, president of the Nashville local of the Teamsters Union. Edward Partin, a resident of Baton Rouge, Louisiana, and a local Teamsters Union official there, made repeated visits to Nashville during the period of the trial. On these visits he frequented the Hoffa hotel suite, and was continually in the company of Hoffa and his associates, including King, in and around the hotel suite, the hotel lobby, the courthouse, and elsewhere in Nashville. During this period Partin made frequent reports to a federal agent named Sheridan concerning conversations he said Hoffa and King had had with him and with each other, disclosing endeavors to bribe members of the Test Fleet jury. Partin's reports and his subsequent testimony at the petitioners' trial unquestionably contributed, directly or indirectly, to the convictions of all four of the petitioners.</w:t>
      </w:r>
    </w:p>
    <w:p w14:paraId="5FA9B78B"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 xml:space="preserve">The chain of circumstances which led Partin to be in Nashville during the Test Fleet trial extended back at least to September of 1962. At that time Partin was in jail in Baton Rouge on a state criminal charge. He was also under a federal indictment for embezzling union funds, and other indictments for state offenses </w:t>
      </w:r>
      <w:r w:rsidRPr="003E0431">
        <w:rPr>
          <w:rFonts w:ascii="Verdana" w:hAnsi="Verdana"/>
          <w:color w:val="000000"/>
        </w:rPr>
        <w:lastRenderedPageBreak/>
        <w:t xml:space="preserve">were pending against him. Between that time and Partin's initial visit to Nashville on October 22 he was released on bail on the state criminal charge, and proceedings under the federal indictment were postponed. On October 8, Partin telephoned Hoffa in Washington, D.C., to discuss local union matters and Partin's difficulties with the authorities. </w:t>
      </w:r>
      <w:proofErr w:type="gramStart"/>
      <w:r w:rsidRPr="003E0431">
        <w:rPr>
          <w:rFonts w:ascii="Verdana" w:hAnsi="Verdana"/>
          <w:color w:val="000000"/>
        </w:rPr>
        <w:t>In the course of</w:t>
      </w:r>
      <w:proofErr w:type="gramEnd"/>
      <w:r w:rsidRPr="003E0431">
        <w:rPr>
          <w:rFonts w:ascii="Verdana" w:hAnsi="Verdana"/>
          <w:color w:val="000000"/>
        </w:rPr>
        <w:t xml:space="preserve"> this conversation Partin asked if he could see Hoffa to confer about these problems, and Hoffa acquiesced. Partin again called Hoffa on October 18 and arranged to meet him in Nashville. During this period Partin also consulted on several occasions with federal law enforcement agents, who told him that Hoffa might attempt to tamper with the Test Fleet jury, and asked him to be on the lookout in Nashville for such attempts and to report to the federal authorities any evidence of wrongdoing that he discovered. Partin agreed to do so.</w:t>
      </w:r>
    </w:p>
    <w:p w14:paraId="0CF326A4"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After the Test Fleet trial was completed, Partin's wife received four monthly installment payments of $300 from government funds, and the state and federal charges against Partin were either dropped or not actively pursued.</w:t>
      </w:r>
    </w:p>
    <w:p w14:paraId="671E1E91"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 xml:space="preserve">Reviewing these circumstances in detail, the Government insists the fair inference is that Partin went to Nashville on his own initiative to discuss union business and his own problems with Hoffa, that Partin ultimately cooperated closely with federal authorities only after he discovered evidence of jury tampering in the Test Fleet trial, that the payments to Partin's wife were simply in partial reimbursement of Partin's subsequent out-of-pocket expenses, and that the failure to prosecute Partin on the state and federal charges had no necessary connection with his services as an informer. The findings of the trial court support this version of the facts, and these findings were accepted by the Court of Appeals as ‘supported by substantial evidence.’ 349 F.2d at 36. But </w:t>
      </w:r>
      <w:proofErr w:type="gramStart"/>
      <w:r w:rsidRPr="003E0431">
        <w:rPr>
          <w:rFonts w:ascii="Verdana" w:hAnsi="Verdana"/>
          <w:color w:val="000000"/>
        </w:rPr>
        <w:t>whether or not</w:t>
      </w:r>
      <w:proofErr w:type="gramEnd"/>
      <w:r w:rsidRPr="003E0431">
        <w:rPr>
          <w:rFonts w:ascii="Verdana" w:hAnsi="Verdana"/>
          <w:color w:val="000000"/>
        </w:rPr>
        <w:t xml:space="preserve"> the Government ‘placed’ Partin with Hoffa in Nashville during the Test Fleet trial, we proceed upon the premise that Partin was a government informer from the time he first arrived in Nashville on October 22, and that the Government compensated him for his services as such. It is upon that premise that we consider the constitutional issues presented.</w:t>
      </w:r>
    </w:p>
    <w:p w14:paraId="09879B56"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 xml:space="preserve">Before turning to those </w:t>
      </w:r>
      <w:proofErr w:type="gramStart"/>
      <w:r w:rsidRPr="003E0431">
        <w:rPr>
          <w:rFonts w:ascii="Verdana" w:hAnsi="Verdana"/>
          <w:color w:val="000000"/>
        </w:rPr>
        <w:t>issues</w:t>
      </w:r>
      <w:proofErr w:type="gramEnd"/>
      <w:r w:rsidRPr="003E0431">
        <w:rPr>
          <w:rFonts w:ascii="Verdana" w:hAnsi="Verdana"/>
          <w:color w:val="000000"/>
        </w:rPr>
        <w:t xml:space="preserve"> we mention an additional preliminary contention of the Government. The petitioner Hoffa was the only individual defendant in the Test Fleet case, and Partin had conversations during the Test Fleet trial only with him and with the petitioner King. So far as appears, Partin never saw either of the other two petitioners during that period. Consequently, the Government argues that, of the four petitioners, only Hoffa has standing to raise a claim that his Sixth Amendment right to counsel in the Test Fleet trial was impaired, and only he and King have standing with respect to the other constitutional claims. Cf. Wong Sun v. United States, 371 U.S. 471, 487—488, 491—492, 83 S.Ct. 407, 417—418, 419—420, 9 L.Ed.2d 441; Jones v. United States, 362 U.S. 257, 259—267, 80 S.Ct. 725, 730—734, 4 L.Ed.2d 697. It is clear, on the other hand, that Partin's reports to the agent Sheridan uncovered leads that made possible the development of evidence against petitioners Parks and Campbell. But we need not pursue the nuances of these ‘standing’ questions, because it is evident in any event that none of the petitioners can prevail unless the petitioner Hoffa prevails. For that reason, the ensuing discussion is confined to the claims of the petitioner Hoffa (hereinafter petitioner), all of which he clearly has standing to invoke.</w:t>
      </w:r>
    </w:p>
    <w:p w14:paraId="325EF2FB" w14:textId="77777777" w:rsidR="000B0386" w:rsidRPr="003E0431" w:rsidRDefault="000B0386" w:rsidP="000B0386">
      <w:pPr>
        <w:widowControl w:val="0"/>
        <w:autoSpaceDE w:val="0"/>
        <w:autoSpaceDN w:val="0"/>
        <w:adjustRightInd w:val="0"/>
        <w:spacing w:after="0" w:line="240" w:lineRule="auto"/>
        <w:rPr>
          <w:rFonts w:ascii="Verdana" w:hAnsi="Verdana"/>
          <w:color w:val="000000"/>
        </w:rPr>
      </w:pPr>
    </w:p>
    <w:p w14:paraId="7F9C5E9F" w14:textId="77777777" w:rsidR="000B0386" w:rsidRPr="003E0431" w:rsidRDefault="000B0386" w:rsidP="000B0386">
      <w:pPr>
        <w:widowControl w:val="0"/>
        <w:autoSpaceDE w:val="0"/>
        <w:autoSpaceDN w:val="0"/>
        <w:adjustRightInd w:val="0"/>
        <w:spacing w:after="0" w:line="240" w:lineRule="auto"/>
        <w:rPr>
          <w:rFonts w:ascii="Verdana" w:hAnsi="Verdana"/>
          <w:color w:val="000000"/>
        </w:rPr>
      </w:pPr>
      <w:r w:rsidRPr="003E0431">
        <w:rPr>
          <w:rFonts w:ascii="Verdana" w:hAnsi="Verdana"/>
          <w:color w:val="000000"/>
        </w:rPr>
        <w:lastRenderedPageBreak/>
        <w:t>I.</w:t>
      </w:r>
    </w:p>
    <w:p w14:paraId="2CE6F8FE"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It is contended that only by violating the petitioner's rights under the Fourth Amendment was Partin able to hear the petitioner's incriminating statements in the hotel suite, and that Partin's testimony was therefore inadmissible under the exclusionary rule of Weeks v. United States, 232 U.S. 383, 34 S.Ct. 341, 58 L.Ed. 652. The argument is that Partin's failure to disclose his role as a government informer vitiated the consent that the petitioner gave to Partin's repeated entries into the suite, and that by listening to the petitioner's statements Partin conducted an illegal ‘search’ for verbal evidence.</w:t>
      </w:r>
    </w:p>
    <w:p w14:paraId="33EAEC3C"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The preliminary steps of this argument are on solid ground. A hotel room can clearly be the object of Fourth Amendment protection as much as a home or an office. United States v. Jeffers, 342 U.S. 48, 72 S.Ct. 93, 96 L.Ed. 59. The Fourth Amendment can certainly be violated by guileful as well as by forcible intrusions into a constitutionally protected area. Gouled v. United States, 255 U.S. 298, 41 S.Ct. 261, 65 L.Ed. 647. And the protections of the Fourth Amendment are surely not limited to tangibles, but can extend as well to oral statements. Silverman v. United States, 365 U.S. 505, 81 S.Ct. 679, 5 L.Ed.2d 734.</w:t>
      </w:r>
    </w:p>
    <w:p w14:paraId="567589F8"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 xml:space="preserve">Where the argument falls is in its misapprehension of the fundamental nature and scope of Fourth Amendment protection. What the Fourth Amendment protects is the security a man relies upon when he places himself or his property within a constitutionally protected area, be it his home or his office, his hotel </w:t>
      </w:r>
      <w:proofErr w:type="gramStart"/>
      <w:r w:rsidRPr="003E0431">
        <w:rPr>
          <w:rFonts w:ascii="Verdana" w:hAnsi="Verdana"/>
          <w:color w:val="000000"/>
        </w:rPr>
        <w:t>room</w:t>
      </w:r>
      <w:proofErr w:type="gramEnd"/>
      <w:r w:rsidRPr="003E0431">
        <w:rPr>
          <w:rFonts w:ascii="Verdana" w:hAnsi="Verdana"/>
          <w:color w:val="000000"/>
        </w:rPr>
        <w:t xml:space="preserve"> or his automobile. There he is protected from unwarranted governmental intrusion. And when he puts something in his filing cabinet, in his desk drawer, or in his pocket, he has the right to know it will be secure from an unreasonable search or an unreasonable seizure. So it was that the Fourth Amendment could not tolerate the warrantless search of the hotel room in Jeffers, the purloining of the petitioner's private papers in Gouled, or the surreptitious electronic surveillance in Silverman. Countless other cases which have come to this Court over the years have involved a myriad of differing factual contexts in which the protections of the Fourth Amendment have been appropriately invoked. No doubt the future will bring countless others. By nothing we say here do we either foresee or foreclose factual situations to which the Fourth Amendment may be applicable.</w:t>
      </w:r>
    </w:p>
    <w:p w14:paraId="763AD691"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In the present case, however, it is evident that no interest legitimately protected by the Fourth Amendment is involved. It is obvious that the petitioner was not relying on the security of his hotel suite when he made the incriminating statements to Partin or in Partin's presence. Partin did not enter the suite by force or by stealth. He was not a surreptitious eavesdropper. Partin was in the suite by invitation, and every conversation which he heard was either directed to him or knowingly carried on in his presence. The petitioner, in a word, was not relying on the security of the hotel room; he was relying upon his misplaced confidence that Partin would not reveal his wrongdoing. As counsel for the petitioner himself points out, some of the communications with Partin did not take place in the suite at all, but in the ‘hall of the hotel,’ in the ‘Andrew Jackson Hotel lobby,’ and ‘at the courthouse.’</w:t>
      </w:r>
    </w:p>
    <w:p w14:paraId="4A4672F5"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 xml:space="preserve">Neither this Court nor any member of it has ever expressed the view that the Fourth Amendment protects a wrongdoer's misplaced belief that a person to whom he voluntarily confides his wrongdoing will not reveal it. Indeed, the Court unanimously rejected that very contention less than four years ago in Lopez v. </w:t>
      </w:r>
      <w:r w:rsidRPr="003E0431">
        <w:rPr>
          <w:rFonts w:ascii="Verdana" w:hAnsi="Verdana"/>
          <w:color w:val="000000"/>
        </w:rPr>
        <w:lastRenderedPageBreak/>
        <w:t xml:space="preserve">United States, 373 US. 427, 83 S.Ct. 1381, 10 L.Ed.2d 462. In that case the petitioner had been convicted of attempted bribery of an internal revenue agent named Davis. The Court was divided </w:t>
      </w:r>
      <w:proofErr w:type="gramStart"/>
      <w:r w:rsidRPr="003E0431">
        <w:rPr>
          <w:rFonts w:ascii="Verdana" w:hAnsi="Verdana"/>
          <w:color w:val="000000"/>
        </w:rPr>
        <w:t>with regard to</w:t>
      </w:r>
      <w:proofErr w:type="gramEnd"/>
      <w:r w:rsidRPr="003E0431">
        <w:rPr>
          <w:rFonts w:ascii="Verdana" w:hAnsi="Verdana"/>
          <w:color w:val="000000"/>
        </w:rPr>
        <w:t xml:space="preserve"> the admissibility in evidence of a surreptitious electronic recording of an incriminating conversation Lopez had had in his private office with Davis. But there was no dissent from the view that testimony about the conversation by Davis himself was clearly admissible.</w:t>
      </w:r>
    </w:p>
    <w:p w14:paraId="0BB50BA1"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As the Court put it, ‘Davis was not guilty of an unlawful invasion of petitioner's office simply because his apparent willingness to accept a bribe was not real. Compare Wong Sun v. United States, 371 U.S. 471, 83 S.Ct. 407, 9 L.Ed.2d 441. He was in the office with petitioner's consent, and while there he did not violate the privacy of the office by seizing something surreptitiously without petitioner's knowledge. Compare Gouled v. United States, supra. The only evidence obtained consisted of statements made by Lopez to Davis, statements which Lopez knew full well could be used against him by Davis if he wished. * * *’ 373 U.S. at 438, 83 S.Ct. at 1387, 10 L.Ed.2d 462. In the words of the dissenting opinion in Lopez, ‘The risk of being overheard by an eavesdropper or betrayed by an informer or deceived as to the identity of one with whom one deals is probably inherent in the conditions of human society. It is the kind of risk we necessarily assume whenever we speak.’ Id., 373 U.S. at 465, 83 S.Ct. at 1402, 10 L.Ed.2d 462. See also Lewis v. United States, 385 U.S. 206, 87 S.Ct. 424, 17 L.Ed.2d 312.</w:t>
      </w:r>
    </w:p>
    <w:p w14:paraId="3B8BE52C"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Adhering to these views, we hold that no right protected by the Fourth Amendment was violated in the present case.</w:t>
      </w:r>
    </w:p>
    <w:p w14:paraId="00E39FFB" w14:textId="77777777" w:rsidR="000B0386" w:rsidRPr="003E0431" w:rsidRDefault="000B0386" w:rsidP="000B0386">
      <w:pPr>
        <w:widowControl w:val="0"/>
        <w:autoSpaceDE w:val="0"/>
        <w:autoSpaceDN w:val="0"/>
        <w:adjustRightInd w:val="0"/>
        <w:spacing w:after="0" w:line="240" w:lineRule="auto"/>
        <w:rPr>
          <w:rFonts w:ascii="Verdana" w:hAnsi="Verdana"/>
          <w:color w:val="000000"/>
        </w:rPr>
      </w:pPr>
    </w:p>
    <w:p w14:paraId="377D0F3D" w14:textId="77777777" w:rsidR="000B0386" w:rsidRPr="003E0431" w:rsidRDefault="000B0386" w:rsidP="000B0386">
      <w:pPr>
        <w:widowControl w:val="0"/>
        <w:autoSpaceDE w:val="0"/>
        <w:autoSpaceDN w:val="0"/>
        <w:adjustRightInd w:val="0"/>
        <w:spacing w:after="0" w:line="240" w:lineRule="auto"/>
        <w:jc w:val="center"/>
        <w:rPr>
          <w:rFonts w:ascii="Verdana" w:hAnsi="Verdana"/>
          <w:color w:val="000000"/>
        </w:rPr>
      </w:pPr>
      <w:r w:rsidRPr="003E0431">
        <w:rPr>
          <w:rFonts w:ascii="Verdana" w:hAnsi="Verdana"/>
          <w:color w:val="000000"/>
        </w:rPr>
        <w:t>****</w:t>
      </w:r>
    </w:p>
    <w:p w14:paraId="53BE73B2" w14:textId="77777777" w:rsidR="000B0386" w:rsidRPr="003E0431" w:rsidRDefault="000B0386" w:rsidP="000B0386">
      <w:pPr>
        <w:widowControl w:val="0"/>
        <w:autoSpaceDE w:val="0"/>
        <w:autoSpaceDN w:val="0"/>
        <w:adjustRightInd w:val="0"/>
        <w:spacing w:after="0" w:line="240" w:lineRule="auto"/>
        <w:rPr>
          <w:rFonts w:ascii="Verdana" w:hAnsi="Verdana"/>
          <w:color w:val="000000"/>
        </w:rPr>
      </w:pPr>
    </w:p>
    <w:p w14:paraId="4C69657B" w14:textId="77777777" w:rsidR="000B0386" w:rsidRPr="003E0431" w:rsidRDefault="000B0386" w:rsidP="000B0386">
      <w:pPr>
        <w:widowControl w:val="0"/>
        <w:autoSpaceDE w:val="0"/>
        <w:autoSpaceDN w:val="0"/>
        <w:adjustRightInd w:val="0"/>
        <w:spacing w:after="0" w:line="240" w:lineRule="auto"/>
        <w:ind w:firstLine="360"/>
        <w:rPr>
          <w:rFonts w:ascii="Verdana" w:hAnsi="Verdana"/>
          <w:color w:val="000000"/>
        </w:rPr>
      </w:pPr>
      <w:r w:rsidRPr="003E0431">
        <w:rPr>
          <w:rFonts w:ascii="Verdana" w:hAnsi="Verdana"/>
          <w:color w:val="000000"/>
        </w:rPr>
        <w:t>Affirmed.</w:t>
      </w:r>
    </w:p>
    <w:p w14:paraId="434B946F" w14:textId="77777777" w:rsidR="00865EB2" w:rsidRDefault="00865EB2"/>
    <w:sectPr w:rsidR="00865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86"/>
    <w:rsid w:val="000479DD"/>
    <w:rsid w:val="000B0386"/>
    <w:rsid w:val="00865EB2"/>
    <w:rsid w:val="008B5EC0"/>
    <w:rsid w:val="00E1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2EA4"/>
  <w15:chartTrackingRefBased/>
  <w15:docId w15:val="{29F8533A-EA07-4145-A97C-3875179E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86"/>
    <w:pPr>
      <w:spacing w:after="200" w:line="276" w:lineRule="auto"/>
    </w:pPr>
    <w:rPr>
      <w:rFonts w:ascii="Calibri" w:eastAsia="Times New Roman" w:hAnsi="Calibri"/>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1827</Words>
  <Characters>10417</Characters>
  <Application>Microsoft Office Word</Application>
  <DocSecurity>0</DocSecurity>
  <Lines>86</Lines>
  <Paragraphs>24</Paragraphs>
  <ScaleCrop>false</ScaleCrop>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2024-02-24T19:34:00Z</dcterms:created>
  <dcterms:modified xsi:type="dcterms:W3CDTF">2024-02-24T19:34:00Z</dcterms:modified>
</cp:coreProperties>
</file>