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1B3E" w14:textId="77777777" w:rsidR="00184DA7" w:rsidRPr="00EF577A" w:rsidRDefault="00184DA7">
      <w:pPr>
        <w:rPr>
          <w:color w:val="000000"/>
          <w:szCs w:val="22"/>
        </w:rPr>
      </w:pPr>
      <w:bookmarkStart w:id="0" w:name="_Hlk59288516"/>
    </w:p>
    <w:p w14:paraId="20642456" w14:textId="77777777" w:rsidR="00184DA7" w:rsidRPr="00EF577A" w:rsidRDefault="00184DA7">
      <w:pPr>
        <w:rPr>
          <w:color w:val="000000"/>
          <w:szCs w:val="22"/>
        </w:rPr>
      </w:pPr>
    </w:p>
    <w:p w14:paraId="7D169688" w14:textId="77777777" w:rsidR="00184DA7" w:rsidRPr="00EF577A" w:rsidRDefault="00184DA7">
      <w:pPr>
        <w:rPr>
          <w:color w:val="000000"/>
          <w:szCs w:val="22"/>
        </w:rPr>
      </w:pPr>
    </w:p>
    <w:p w14:paraId="38EA8C6C" w14:textId="77777777" w:rsidR="00184DA7" w:rsidRPr="00EF577A" w:rsidRDefault="00184DA7">
      <w:pPr>
        <w:rPr>
          <w:color w:val="000000"/>
          <w:szCs w:val="22"/>
        </w:rPr>
      </w:pPr>
    </w:p>
    <w:p w14:paraId="0F0617A4" w14:textId="77777777" w:rsidR="00184DA7" w:rsidRPr="00EF577A" w:rsidRDefault="00184DA7">
      <w:pPr>
        <w:rPr>
          <w:color w:val="000000"/>
          <w:szCs w:val="22"/>
        </w:rPr>
      </w:pPr>
    </w:p>
    <w:p w14:paraId="759E90F8" w14:textId="77777777" w:rsidR="00184DA7" w:rsidRPr="00EF577A" w:rsidRDefault="00184DA7">
      <w:pPr>
        <w:rPr>
          <w:color w:val="000000"/>
          <w:szCs w:val="22"/>
        </w:rPr>
      </w:pPr>
    </w:p>
    <w:p w14:paraId="45CD24D8" w14:textId="77777777" w:rsidR="00184DA7" w:rsidRPr="00EF577A" w:rsidRDefault="00184DA7">
      <w:pPr>
        <w:rPr>
          <w:color w:val="000000"/>
          <w:szCs w:val="22"/>
        </w:rPr>
      </w:pPr>
    </w:p>
    <w:p w14:paraId="4C89FABE" w14:textId="77777777" w:rsidR="00184DA7" w:rsidRPr="00EF577A" w:rsidRDefault="00184DA7">
      <w:pPr>
        <w:rPr>
          <w:color w:val="000000"/>
          <w:szCs w:val="22"/>
        </w:rPr>
      </w:pPr>
    </w:p>
    <w:p w14:paraId="1A8E3E11" w14:textId="77777777" w:rsidR="00184DA7" w:rsidRPr="00EF577A" w:rsidRDefault="00184DA7">
      <w:pPr>
        <w:rPr>
          <w:color w:val="000000"/>
          <w:szCs w:val="22"/>
        </w:rPr>
      </w:pPr>
    </w:p>
    <w:p w14:paraId="55726753" w14:textId="77777777" w:rsidR="00184DA7" w:rsidRPr="00EF577A" w:rsidRDefault="00184DA7">
      <w:pPr>
        <w:rPr>
          <w:color w:val="000000"/>
          <w:szCs w:val="22"/>
        </w:rPr>
      </w:pPr>
    </w:p>
    <w:p w14:paraId="0D755DBC" w14:textId="0CE5B242" w:rsidR="00184DA7" w:rsidRPr="00EF577A" w:rsidRDefault="001F3AB1" w:rsidP="00184DA7">
      <w:pPr>
        <w:jc w:val="center"/>
        <w:rPr>
          <w:color w:val="000000"/>
          <w:szCs w:val="22"/>
        </w:rPr>
      </w:pPr>
      <w:r w:rsidRPr="00EF577A">
        <w:rPr>
          <w:color w:val="000000"/>
          <w:szCs w:val="22"/>
        </w:rPr>
        <w:t>Consumer and Online Contracting</w:t>
      </w:r>
      <w:r w:rsidR="00DC43FF" w:rsidRPr="00EF577A">
        <w:rPr>
          <w:color w:val="000000"/>
          <w:szCs w:val="22"/>
        </w:rPr>
        <w:t xml:space="preserve"> </w:t>
      </w:r>
    </w:p>
    <w:p w14:paraId="264B0A51" w14:textId="77777777" w:rsidR="00184DA7" w:rsidRPr="00EF577A" w:rsidRDefault="00184DA7" w:rsidP="00184DA7">
      <w:pPr>
        <w:jc w:val="center"/>
        <w:rPr>
          <w:color w:val="000000"/>
          <w:szCs w:val="22"/>
        </w:rPr>
      </w:pPr>
    </w:p>
    <w:p w14:paraId="1D9B36CD" w14:textId="77777777" w:rsidR="00184DA7" w:rsidRPr="00EF577A" w:rsidRDefault="00184DA7" w:rsidP="00184DA7">
      <w:pPr>
        <w:jc w:val="center"/>
        <w:rPr>
          <w:color w:val="000000"/>
          <w:szCs w:val="22"/>
        </w:rPr>
      </w:pPr>
      <w:r w:rsidRPr="00EF577A">
        <w:rPr>
          <w:color w:val="000000"/>
          <w:szCs w:val="22"/>
        </w:rPr>
        <w:t>Richard Warner</w:t>
      </w:r>
    </w:p>
    <w:p w14:paraId="0D9709CE" w14:textId="77777777" w:rsidR="00184DA7" w:rsidRPr="00EF577A" w:rsidRDefault="00184DA7">
      <w:pPr>
        <w:rPr>
          <w:color w:val="000000"/>
          <w:szCs w:val="22"/>
        </w:rPr>
      </w:pPr>
      <w:r w:rsidRPr="00EF577A">
        <w:rPr>
          <w:color w:val="000000"/>
          <w:szCs w:val="22"/>
        </w:rPr>
        <w:br w:type="page"/>
      </w:r>
    </w:p>
    <w:sdt>
      <w:sdtPr>
        <w:rPr>
          <w:rFonts w:ascii="Verdana" w:eastAsia="Times New Roman" w:hAnsi="Verdana" w:cs="Times New Roman"/>
          <w:color w:val="auto"/>
          <w:sz w:val="22"/>
          <w:szCs w:val="22"/>
        </w:rPr>
        <w:id w:val="896016354"/>
        <w:docPartObj>
          <w:docPartGallery w:val="Table of Contents"/>
          <w:docPartUnique/>
        </w:docPartObj>
      </w:sdtPr>
      <w:sdtEndPr>
        <w:rPr>
          <w:b/>
          <w:bCs/>
          <w:noProof/>
        </w:rPr>
      </w:sdtEndPr>
      <w:sdtContent>
        <w:p w14:paraId="6F78FE74" w14:textId="3625EB3C" w:rsidR="00184DA7" w:rsidRPr="00EF577A" w:rsidRDefault="00184DA7">
          <w:pPr>
            <w:pStyle w:val="TOCHeading"/>
            <w:rPr>
              <w:rFonts w:ascii="Verdana" w:hAnsi="Verdana"/>
              <w:sz w:val="22"/>
              <w:szCs w:val="22"/>
            </w:rPr>
          </w:pPr>
          <w:r w:rsidRPr="00EF577A">
            <w:rPr>
              <w:rFonts w:ascii="Verdana" w:hAnsi="Verdana"/>
              <w:sz w:val="22"/>
              <w:szCs w:val="22"/>
            </w:rPr>
            <w:t>Contents</w:t>
          </w:r>
        </w:p>
        <w:p w14:paraId="4F7D6DF0" w14:textId="54BEBEFE" w:rsidR="00723B80" w:rsidRDefault="00184DA7">
          <w:pPr>
            <w:pStyle w:val="TOC1"/>
            <w:tabs>
              <w:tab w:val="right" w:leader="dot" w:pos="10070"/>
            </w:tabs>
            <w:rPr>
              <w:rFonts w:asciiTheme="minorHAnsi" w:eastAsiaTheme="minorEastAsia" w:hAnsiTheme="minorHAnsi" w:cstheme="minorBidi"/>
              <w:noProof/>
              <w:kern w:val="2"/>
              <w:szCs w:val="22"/>
              <w14:ligatures w14:val="standardContextual"/>
            </w:rPr>
          </w:pPr>
          <w:r w:rsidRPr="00EF577A">
            <w:rPr>
              <w:szCs w:val="22"/>
            </w:rPr>
            <w:fldChar w:fldCharType="begin"/>
          </w:r>
          <w:r w:rsidRPr="00EF577A">
            <w:rPr>
              <w:szCs w:val="22"/>
            </w:rPr>
            <w:instrText xml:space="preserve"> TOC \o "1-3" \h \z \u </w:instrText>
          </w:r>
          <w:r w:rsidRPr="00EF577A">
            <w:rPr>
              <w:szCs w:val="22"/>
            </w:rPr>
            <w:fldChar w:fldCharType="separate"/>
          </w:r>
          <w:hyperlink w:anchor="_Toc186019882" w:history="1">
            <w:r w:rsidR="00723B80" w:rsidRPr="00CB24EE">
              <w:rPr>
                <w:rStyle w:val="Hyperlink"/>
                <w:rFonts w:cs="Arial"/>
                <w:bCs/>
                <w:noProof/>
              </w:rPr>
              <w:t>Lefkowitz v. Great Minneapolis Surplus Store</w:t>
            </w:r>
            <w:r w:rsidR="00723B80">
              <w:rPr>
                <w:noProof/>
                <w:webHidden/>
              </w:rPr>
              <w:tab/>
            </w:r>
            <w:r w:rsidR="00723B80">
              <w:rPr>
                <w:noProof/>
                <w:webHidden/>
              </w:rPr>
              <w:fldChar w:fldCharType="begin"/>
            </w:r>
            <w:r w:rsidR="00723B80">
              <w:rPr>
                <w:noProof/>
                <w:webHidden/>
              </w:rPr>
              <w:instrText xml:space="preserve"> PAGEREF _Toc186019882 \h </w:instrText>
            </w:r>
            <w:r w:rsidR="00723B80">
              <w:rPr>
                <w:noProof/>
                <w:webHidden/>
              </w:rPr>
            </w:r>
            <w:r w:rsidR="00723B80">
              <w:rPr>
                <w:noProof/>
                <w:webHidden/>
              </w:rPr>
              <w:fldChar w:fldCharType="separate"/>
            </w:r>
            <w:r w:rsidR="00723B80">
              <w:rPr>
                <w:noProof/>
                <w:webHidden/>
              </w:rPr>
              <w:t>3</w:t>
            </w:r>
            <w:r w:rsidR="00723B80">
              <w:rPr>
                <w:noProof/>
                <w:webHidden/>
              </w:rPr>
              <w:fldChar w:fldCharType="end"/>
            </w:r>
          </w:hyperlink>
        </w:p>
        <w:p w14:paraId="19EF6EAD" w14:textId="51B0B594"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3" w:history="1">
            <w:r w:rsidRPr="00CB24EE">
              <w:rPr>
                <w:rStyle w:val="Hyperlink"/>
                <w:noProof/>
              </w:rPr>
              <w:t>Klar v. H. &amp; M. Parcel Room</w:t>
            </w:r>
            <w:r>
              <w:rPr>
                <w:noProof/>
                <w:webHidden/>
              </w:rPr>
              <w:tab/>
            </w:r>
            <w:r>
              <w:rPr>
                <w:noProof/>
                <w:webHidden/>
              </w:rPr>
              <w:fldChar w:fldCharType="begin"/>
            </w:r>
            <w:r>
              <w:rPr>
                <w:noProof/>
                <w:webHidden/>
              </w:rPr>
              <w:instrText xml:space="preserve"> PAGEREF _Toc186019883 \h </w:instrText>
            </w:r>
            <w:r>
              <w:rPr>
                <w:noProof/>
                <w:webHidden/>
              </w:rPr>
            </w:r>
            <w:r>
              <w:rPr>
                <w:noProof/>
                <w:webHidden/>
              </w:rPr>
              <w:fldChar w:fldCharType="separate"/>
            </w:r>
            <w:r>
              <w:rPr>
                <w:noProof/>
                <w:webHidden/>
              </w:rPr>
              <w:t>5</w:t>
            </w:r>
            <w:r>
              <w:rPr>
                <w:noProof/>
                <w:webHidden/>
              </w:rPr>
              <w:fldChar w:fldCharType="end"/>
            </w:r>
          </w:hyperlink>
        </w:p>
        <w:p w14:paraId="11759833" w14:textId="428D2523"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4" w:history="1">
            <w:r w:rsidRPr="00CB24EE">
              <w:rPr>
                <w:rStyle w:val="Hyperlink"/>
                <w:bCs/>
                <w:noProof/>
              </w:rPr>
              <w:t>ProCD v. Zeidenberg</w:t>
            </w:r>
            <w:r>
              <w:rPr>
                <w:noProof/>
                <w:webHidden/>
              </w:rPr>
              <w:tab/>
            </w:r>
            <w:r>
              <w:rPr>
                <w:noProof/>
                <w:webHidden/>
              </w:rPr>
              <w:fldChar w:fldCharType="begin"/>
            </w:r>
            <w:r>
              <w:rPr>
                <w:noProof/>
                <w:webHidden/>
              </w:rPr>
              <w:instrText xml:space="preserve"> PAGEREF _Toc186019884 \h </w:instrText>
            </w:r>
            <w:r>
              <w:rPr>
                <w:noProof/>
                <w:webHidden/>
              </w:rPr>
            </w:r>
            <w:r>
              <w:rPr>
                <w:noProof/>
                <w:webHidden/>
              </w:rPr>
              <w:fldChar w:fldCharType="separate"/>
            </w:r>
            <w:r>
              <w:rPr>
                <w:noProof/>
                <w:webHidden/>
              </w:rPr>
              <w:t>10</w:t>
            </w:r>
            <w:r>
              <w:rPr>
                <w:noProof/>
                <w:webHidden/>
              </w:rPr>
              <w:fldChar w:fldCharType="end"/>
            </w:r>
          </w:hyperlink>
        </w:p>
        <w:p w14:paraId="675C9C97" w14:textId="33158890"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5" w:history="1">
            <w:r w:rsidRPr="00CB24EE">
              <w:rPr>
                <w:rStyle w:val="Hyperlink"/>
                <w:noProof/>
              </w:rPr>
              <w:t>Perdue v. Crocker National Bank</w:t>
            </w:r>
            <w:r>
              <w:rPr>
                <w:noProof/>
                <w:webHidden/>
              </w:rPr>
              <w:tab/>
            </w:r>
            <w:r>
              <w:rPr>
                <w:noProof/>
                <w:webHidden/>
              </w:rPr>
              <w:fldChar w:fldCharType="begin"/>
            </w:r>
            <w:r>
              <w:rPr>
                <w:noProof/>
                <w:webHidden/>
              </w:rPr>
              <w:instrText xml:space="preserve"> PAGEREF _Toc186019885 \h </w:instrText>
            </w:r>
            <w:r>
              <w:rPr>
                <w:noProof/>
                <w:webHidden/>
              </w:rPr>
            </w:r>
            <w:r>
              <w:rPr>
                <w:noProof/>
                <w:webHidden/>
              </w:rPr>
              <w:fldChar w:fldCharType="separate"/>
            </w:r>
            <w:r>
              <w:rPr>
                <w:noProof/>
                <w:webHidden/>
              </w:rPr>
              <w:t>15</w:t>
            </w:r>
            <w:r>
              <w:rPr>
                <w:noProof/>
                <w:webHidden/>
              </w:rPr>
              <w:fldChar w:fldCharType="end"/>
            </w:r>
          </w:hyperlink>
        </w:p>
        <w:p w14:paraId="66F0324E" w14:textId="01368961"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6" w:history="1">
            <w:r w:rsidRPr="00CB24EE">
              <w:rPr>
                <w:rStyle w:val="Hyperlink"/>
                <w:noProof/>
              </w:rPr>
              <w:t>Specht v. Netscape</w:t>
            </w:r>
            <w:r>
              <w:rPr>
                <w:noProof/>
                <w:webHidden/>
              </w:rPr>
              <w:tab/>
            </w:r>
            <w:r>
              <w:rPr>
                <w:noProof/>
                <w:webHidden/>
              </w:rPr>
              <w:fldChar w:fldCharType="begin"/>
            </w:r>
            <w:r>
              <w:rPr>
                <w:noProof/>
                <w:webHidden/>
              </w:rPr>
              <w:instrText xml:space="preserve"> PAGEREF _Toc186019886 \h </w:instrText>
            </w:r>
            <w:r>
              <w:rPr>
                <w:noProof/>
                <w:webHidden/>
              </w:rPr>
            </w:r>
            <w:r>
              <w:rPr>
                <w:noProof/>
                <w:webHidden/>
              </w:rPr>
              <w:fldChar w:fldCharType="separate"/>
            </w:r>
            <w:r>
              <w:rPr>
                <w:noProof/>
                <w:webHidden/>
              </w:rPr>
              <w:t>16</w:t>
            </w:r>
            <w:r>
              <w:rPr>
                <w:noProof/>
                <w:webHidden/>
              </w:rPr>
              <w:fldChar w:fldCharType="end"/>
            </w:r>
          </w:hyperlink>
        </w:p>
        <w:p w14:paraId="27C6D84B" w14:textId="76CF8774"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7" w:history="1">
            <w:r w:rsidRPr="00CB24EE">
              <w:rPr>
                <w:rStyle w:val="Hyperlink"/>
                <w:rFonts w:cs="Georgia"/>
                <w:noProof/>
              </w:rPr>
              <w:t>Daniel Berman v. Freedom Financial Network, LLC</w:t>
            </w:r>
            <w:r>
              <w:rPr>
                <w:noProof/>
                <w:webHidden/>
              </w:rPr>
              <w:tab/>
            </w:r>
            <w:r>
              <w:rPr>
                <w:noProof/>
                <w:webHidden/>
              </w:rPr>
              <w:fldChar w:fldCharType="begin"/>
            </w:r>
            <w:r>
              <w:rPr>
                <w:noProof/>
                <w:webHidden/>
              </w:rPr>
              <w:instrText xml:space="preserve"> PAGEREF _Toc186019887 \h </w:instrText>
            </w:r>
            <w:r>
              <w:rPr>
                <w:noProof/>
                <w:webHidden/>
              </w:rPr>
            </w:r>
            <w:r>
              <w:rPr>
                <w:noProof/>
                <w:webHidden/>
              </w:rPr>
              <w:fldChar w:fldCharType="separate"/>
            </w:r>
            <w:r>
              <w:rPr>
                <w:noProof/>
                <w:webHidden/>
              </w:rPr>
              <w:t>22</w:t>
            </w:r>
            <w:r>
              <w:rPr>
                <w:noProof/>
                <w:webHidden/>
              </w:rPr>
              <w:fldChar w:fldCharType="end"/>
            </w:r>
          </w:hyperlink>
        </w:p>
        <w:p w14:paraId="126475B0" w14:textId="381E0D42"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8" w:history="1">
            <w:r w:rsidRPr="00CB24EE">
              <w:rPr>
                <w:rStyle w:val="Hyperlink"/>
                <w:noProof/>
              </w:rPr>
              <w:t>Steven v. The Fidelity and Casualty Company</w:t>
            </w:r>
            <w:r>
              <w:rPr>
                <w:noProof/>
                <w:webHidden/>
              </w:rPr>
              <w:tab/>
            </w:r>
            <w:r>
              <w:rPr>
                <w:noProof/>
                <w:webHidden/>
              </w:rPr>
              <w:fldChar w:fldCharType="begin"/>
            </w:r>
            <w:r>
              <w:rPr>
                <w:noProof/>
                <w:webHidden/>
              </w:rPr>
              <w:instrText xml:space="preserve"> PAGEREF _Toc186019888 \h </w:instrText>
            </w:r>
            <w:r>
              <w:rPr>
                <w:noProof/>
                <w:webHidden/>
              </w:rPr>
            </w:r>
            <w:r>
              <w:rPr>
                <w:noProof/>
                <w:webHidden/>
              </w:rPr>
              <w:fldChar w:fldCharType="separate"/>
            </w:r>
            <w:r>
              <w:rPr>
                <w:noProof/>
                <w:webHidden/>
              </w:rPr>
              <w:t>30</w:t>
            </w:r>
            <w:r>
              <w:rPr>
                <w:noProof/>
                <w:webHidden/>
              </w:rPr>
              <w:fldChar w:fldCharType="end"/>
            </w:r>
          </w:hyperlink>
        </w:p>
        <w:p w14:paraId="33039C82" w14:textId="76BC2FAD"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89" w:history="1">
            <w:r w:rsidRPr="00CB24EE">
              <w:rPr>
                <w:rStyle w:val="Hyperlink"/>
                <w:noProof/>
              </w:rPr>
              <w:t>Sifuentes v. Dropbox</w:t>
            </w:r>
            <w:r>
              <w:rPr>
                <w:noProof/>
                <w:webHidden/>
              </w:rPr>
              <w:tab/>
            </w:r>
            <w:r>
              <w:rPr>
                <w:noProof/>
                <w:webHidden/>
              </w:rPr>
              <w:fldChar w:fldCharType="begin"/>
            </w:r>
            <w:r>
              <w:rPr>
                <w:noProof/>
                <w:webHidden/>
              </w:rPr>
              <w:instrText xml:space="preserve"> PAGEREF _Toc186019889 \h </w:instrText>
            </w:r>
            <w:r>
              <w:rPr>
                <w:noProof/>
                <w:webHidden/>
              </w:rPr>
            </w:r>
            <w:r>
              <w:rPr>
                <w:noProof/>
                <w:webHidden/>
              </w:rPr>
              <w:fldChar w:fldCharType="separate"/>
            </w:r>
            <w:r>
              <w:rPr>
                <w:noProof/>
                <w:webHidden/>
              </w:rPr>
              <w:t>39</w:t>
            </w:r>
            <w:r>
              <w:rPr>
                <w:noProof/>
                <w:webHidden/>
              </w:rPr>
              <w:fldChar w:fldCharType="end"/>
            </w:r>
          </w:hyperlink>
        </w:p>
        <w:p w14:paraId="2C97EA37" w14:textId="5C8A655D"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90" w:history="1">
            <w:r w:rsidRPr="00CB24EE">
              <w:rPr>
                <w:rStyle w:val="Hyperlink"/>
                <w:noProof/>
              </w:rPr>
              <w:t>Badie v. Bank of America</w:t>
            </w:r>
            <w:r>
              <w:rPr>
                <w:noProof/>
                <w:webHidden/>
              </w:rPr>
              <w:tab/>
            </w:r>
            <w:r>
              <w:rPr>
                <w:noProof/>
                <w:webHidden/>
              </w:rPr>
              <w:fldChar w:fldCharType="begin"/>
            </w:r>
            <w:r>
              <w:rPr>
                <w:noProof/>
                <w:webHidden/>
              </w:rPr>
              <w:instrText xml:space="preserve"> PAGEREF _Toc186019890 \h </w:instrText>
            </w:r>
            <w:r>
              <w:rPr>
                <w:noProof/>
                <w:webHidden/>
              </w:rPr>
            </w:r>
            <w:r>
              <w:rPr>
                <w:noProof/>
                <w:webHidden/>
              </w:rPr>
              <w:fldChar w:fldCharType="separate"/>
            </w:r>
            <w:r>
              <w:rPr>
                <w:noProof/>
                <w:webHidden/>
              </w:rPr>
              <w:t>43</w:t>
            </w:r>
            <w:r>
              <w:rPr>
                <w:noProof/>
                <w:webHidden/>
              </w:rPr>
              <w:fldChar w:fldCharType="end"/>
            </w:r>
          </w:hyperlink>
        </w:p>
        <w:p w14:paraId="5B01024A" w14:textId="52200704"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91" w:history="1">
            <w:r w:rsidRPr="00CB24EE">
              <w:rPr>
                <w:rStyle w:val="Hyperlink"/>
                <w:noProof/>
              </w:rPr>
              <w:t>Rodriguez v. Instagram</w:t>
            </w:r>
            <w:r>
              <w:rPr>
                <w:noProof/>
                <w:webHidden/>
              </w:rPr>
              <w:tab/>
            </w:r>
            <w:r>
              <w:rPr>
                <w:noProof/>
                <w:webHidden/>
              </w:rPr>
              <w:fldChar w:fldCharType="begin"/>
            </w:r>
            <w:r>
              <w:rPr>
                <w:noProof/>
                <w:webHidden/>
              </w:rPr>
              <w:instrText xml:space="preserve"> PAGEREF _Toc186019891 \h </w:instrText>
            </w:r>
            <w:r>
              <w:rPr>
                <w:noProof/>
                <w:webHidden/>
              </w:rPr>
            </w:r>
            <w:r>
              <w:rPr>
                <w:noProof/>
                <w:webHidden/>
              </w:rPr>
              <w:fldChar w:fldCharType="separate"/>
            </w:r>
            <w:r>
              <w:rPr>
                <w:noProof/>
                <w:webHidden/>
              </w:rPr>
              <w:t>47</w:t>
            </w:r>
            <w:r>
              <w:rPr>
                <w:noProof/>
                <w:webHidden/>
              </w:rPr>
              <w:fldChar w:fldCharType="end"/>
            </w:r>
          </w:hyperlink>
        </w:p>
        <w:p w14:paraId="50C1C792" w14:textId="66BAB435"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92" w:history="1">
            <w:r w:rsidRPr="00CB24EE">
              <w:rPr>
                <w:rStyle w:val="Hyperlink"/>
                <w:noProof/>
              </w:rPr>
              <w:t>In Re: Capital One Consumer Data Security Breach Litigation</w:t>
            </w:r>
            <w:r>
              <w:rPr>
                <w:noProof/>
                <w:webHidden/>
              </w:rPr>
              <w:tab/>
            </w:r>
            <w:r>
              <w:rPr>
                <w:noProof/>
                <w:webHidden/>
              </w:rPr>
              <w:fldChar w:fldCharType="begin"/>
            </w:r>
            <w:r>
              <w:rPr>
                <w:noProof/>
                <w:webHidden/>
              </w:rPr>
              <w:instrText xml:space="preserve"> PAGEREF _Toc186019892 \h </w:instrText>
            </w:r>
            <w:r>
              <w:rPr>
                <w:noProof/>
                <w:webHidden/>
              </w:rPr>
            </w:r>
            <w:r>
              <w:rPr>
                <w:noProof/>
                <w:webHidden/>
              </w:rPr>
              <w:fldChar w:fldCharType="separate"/>
            </w:r>
            <w:r>
              <w:rPr>
                <w:noProof/>
                <w:webHidden/>
              </w:rPr>
              <w:t>51</w:t>
            </w:r>
            <w:r>
              <w:rPr>
                <w:noProof/>
                <w:webHidden/>
              </w:rPr>
              <w:fldChar w:fldCharType="end"/>
            </w:r>
          </w:hyperlink>
        </w:p>
        <w:p w14:paraId="3511FB17" w14:textId="16234EF3"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93" w:history="1">
            <w:r w:rsidRPr="00CB24EE">
              <w:rPr>
                <w:rStyle w:val="Hyperlink"/>
                <w:noProof/>
              </w:rPr>
              <w:t>In Re: Yahoo! Inc. Customer Data Security Breach Litigation</w:t>
            </w:r>
            <w:r>
              <w:rPr>
                <w:noProof/>
                <w:webHidden/>
              </w:rPr>
              <w:tab/>
            </w:r>
            <w:r>
              <w:rPr>
                <w:noProof/>
                <w:webHidden/>
              </w:rPr>
              <w:fldChar w:fldCharType="begin"/>
            </w:r>
            <w:r>
              <w:rPr>
                <w:noProof/>
                <w:webHidden/>
              </w:rPr>
              <w:instrText xml:space="preserve"> PAGEREF _Toc186019893 \h </w:instrText>
            </w:r>
            <w:r>
              <w:rPr>
                <w:noProof/>
                <w:webHidden/>
              </w:rPr>
            </w:r>
            <w:r>
              <w:rPr>
                <w:noProof/>
                <w:webHidden/>
              </w:rPr>
              <w:fldChar w:fldCharType="separate"/>
            </w:r>
            <w:r>
              <w:rPr>
                <w:noProof/>
                <w:webHidden/>
              </w:rPr>
              <w:t>55</w:t>
            </w:r>
            <w:r>
              <w:rPr>
                <w:noProof/>
                <w:webHidden/>
              </w:rPr>
              <w:fldChar w:fldCharType="end"/>
            </w:r>
          </w:hyperlink>
        </w:p>
        <w:p w14:paraId="0DDA6D09" w14:textId="6B039075" w:rsidR="00723B80" w:rsidRDefault="00723B80">
          <w:pPr>
            <w:pStyle w:val="TOC1"/>
            <w:tabs>
              <w:tab w:val="right" w:leader="dot" w:pos="10070"/>
            </w:tabs>
            <w:rPr>
              <w:rFonts w:asciiTheme="minorHAnsi" w:eastAsiaTheme="minorEastAsia" w:hAnsiTheme="minorHAnsi" w:cstheme="minorBidi"/>
              <w:noProof/>
              <w:kern w:val="2"/>
              <w:szCs w:val="22"/>
              <w14:ligatures w14:val="standardContextual"/>
            </w:rPr>
          </w:pPr>
          <w:hyperlink w:anchor="_Toc186019894" w:history="1">
            <w:r w:rsidRPr="00CB24EE">
              <w:rPr>
                <w:rStyle w:val="Hyperlink"/>
                <w:noProof/>
              </w:rPr>
              <w:t>Zango, Inc. v. PC Tools Pty Ltd.</w:t>
            </w:r>
            <w:r>
              <w:rPr>
                <w:noProof/>
                <w:webHidden/>
              </w:rPr>
              <w:tab/>
            </w:r>
            <w:r>
              <w:rPr>
                <w:noProof/>
                <w:webHidden/>
              </w:rPr>
              <w:fldChar w:fldCharType="begin"/>
            </w:r>
            <w:r>
              <w:rPr>
                <w:noProof/>
                <w:webHidden/>
              </w:rPr>
              <w:instrText xml:space="preserve"> PAGEREF _Toc186019894 \h </w:instrText>
            </w:r>
            <w:r>
              <w:rPr>
                <w:noProof/>
                <w:webHidden/>
              </w:rPr>
            </w:r>
            <w:r>
              <w:rPr>
                <w:noProof/>
                <w:webHidden/>
              </w:rPr>
              <w:fldChar w:fldCharType="separate"/>
            </w:r>
            <w:r>
              <w:rPr>
                <w:noProof/>
                <w:webHidden/>
              </w:rPr>
              <w:t>62</w:t>
            </w:r>
            <w:r>
              <w:rPr>
                <w:noProof/>
                <w:webHidden/>
              </w:rPr>
              <w:fldChar w:fldCharType="end"/>
            </w:r>
          </w:hyperlink>
        </w:p>
        <w:p w14:paraId="0FC68F9F" w14:textId="0F95B748" w:rsidR="00184DA7" w:rsidRPr="00EF577A" w:rsidRDefault="00184DA7">
          <w:pPr>
            <w:rPr>
              <w:szCs w:val="22"/>
            </w:rPr>
          </w:pPr>
          <w:r w:rsidRPr="00EF577A">
            <w:rPr>
              <w:b/>
              <w:bCs/>
              <w:noProof/>
              <w:szCs w:val="22"/>
            </w:rPr>
            <w:fldChar w:fldCharType="end"/>
          </w:r>
        </w:p>
      </w:sdtContent>
    </w:sdt>
    <w:p w14:paraId="6ECAB361" w14:textId="6692175C" w:rsidR="00184DA7" w:rsidRPr="00EF577A" w:rsidRDefault="00184DA7" w:rsidP="00184DA7">
      <w:pPr>
        <w:rPr>
          <w:color w:val="000000"/>
          <w:szCs w:val="22"/>
        </w:rPr>
      </w:pPr>
      <w:r w:rsidRPr="00EF577A">
        <w:rPr>
          <w:color w:val="000000"/>
          <w:szCs w:val="22"/>
        </w:rPr>
        <w:br w:type="page"/>
      </w:r>
    </w:p>
    <w:p w14:paraId="2AA1B371" w14:textId="77777777" w:rsidR="00CA0CF8" w:rsidRPr="00EF577A" w:rsidRDefault="00CA0CF8" w:rsidP="00CA0CF8">
      <w:pPr>
        <w:rPr>
          <w:szCs w:val="22"/>
        </w:rPr>
      </w:pPr>
      <w:bookmarkStart w:id="1" w:name="_Toc24707012"/>
      <w:bookmarkStart w:id="2" w:name="_Toc28976505"/>
    </w:p>
    <w:p w14:paraId="186DBA3D" w14:textId="77777777" w:rsidR="00CA0CF8" w:rsidRPr="00EF577A" w:rsidRDefault="00CA0CF8" w:rsidP="00CA0CF8">
      <w:pPr>
        <w:rPr>
          <w:szCs w:val="22"/>
        </w:rPr>
      </w:pPr>
    </w:p>
    <w:p w14:paraId="448E74E0" w14:textId="77777777" w:rsidR="00CA0CF8" w:rsidRPr="00EF577A" w:rsidRDefault="00CA0CF8" w:rsidP="00CA0CF8">
      <w:pPr>
        <w:jc w:val="center"/>
        <w:outlineLvl w:val="0"/>
        <w:rPr>
          <w:szCs w:val="22"/>
        </w:rPr>
      </w:pPr>
      <w:bookmarkStart w:id="3" w:name="_Toc424991611"/>
      <w:bookmarkStart w:id="4" w:name="_Toc57545202"/>
      <w:bookmarkStart w:id="5" w:name="_Toc186019882"/>
      <w:r w:rsidRPr="00EF577A">
        <w:rPr>
          <w:rFonts w:cs="Arial"/>
          <w:bCs/>
          <w:szCs w:val="22"/>
        </w:rPr>
        <w:t>Lefkowitz v. Great Minneapolis Surplus Store</w:t>
      </w:r>
      <w:bookmarkEnd w:id="3"/>
      <w:bookmarkEnd w:id="4"/>
      <w:bookmarkEnd w:id="5"/>
      <w:r w:rsidRPr="00EF577A">
        <w:rPr>
          <w:szCs w:val="22"/>
        </w:rPr>
        <w:t> </w:t>
      </w:r>
    </w:p>
    <w:p w14:paraId="2826907D" w14:textId="77777777" w:rsidR="00CA0CF8" w:rsidRPr="00EF577A" w:rsidRDefault="00CA0CF8" w:rsidP="00CA0CF8">
      <w:pPr>
        <w:jc w:val="center"/>
        <w:rPr>
          <w:szCs w:val="22"/>
        </w:rPr>
      </w:pPr>
      <w:r w:rsidRPr="00EF577A">
        <w:rPr>
          <w:szCs w:val="22"/>
        </w:rPr>
        <w:br/>
      </w:r>
      <w:r w:rsidRPr="00EF577A">
        <w:rPr>
          <w:rFonts w:cs="Arial"/>
          <w:bCs/>
          <w:szCs w:val="22"/>
        </w:rPr>
        <w:t>86 N.W.2d 689 (Minn. 1957)</w:t>
      </w:r>
    </w:p>
    <w:p w14:paraId="6A81E074" w14:textId="77777777" w:rsidR="00CA0CF8" w:rsidRPr="00EF577A" w:rsidRDefault="00CA0CF8" w:rsidP="00CA0CF8">
      <w:pPr>
        <w:spacing w:before="100" w:beforeAutospacing="1" w:after="100" w:afterAutospacing="1"/>
        <w:rPr>
          <w:szCs w:val="22"/>
        </w:rPr>
      </w:pPr>
      <w:r w:rsidRPr="00EF577A">
        <w:rPr>
          <w:rFonts w:cs="Arial"/>
          <w:szCs w:val="22"/>
        </w:rPr>
        <w:t>This is an appeal from an order of the Municipal Court of Minneapolis denying the motion of the defendant for amended findings of fact, or, in the alternative, for a new trial. The order for judgment awarded the plaintiff the sum of $ 138.50 as damages for breach of contract.</w:t>
      </w:r>
    </w:p>
    <w:p w14:paraId="138CA234" w14:textId="77777777" w:rsidR="00CA0CF8" w:rsidRPr="00EF577A" w:rsidRDefault="00CA0CF8" w:rsidP="00CA0CF8">
      <w:pPr>
        <w:spacing w:before="100" w:beforeAutospacing="1" w:after="100" w:afterAutospacing="1"/>
        <w:rPr>
          <w:szCs w:val="22"/>
        </w:rPr>
      </w:pPr>
      <w:r w:rsidRPr="00EF577A">
        <w:rPr>
          <w:rFonts w:cs="Arial"/>
          <w:szCs w:val="22"/>
        </w:rPr>
        <w:t>This case grows out of the alleged refusal of the defendant to sell to the plaintiff a certain fur piece which it had offered for sale in a newspaper advertisement. It appears from the record that on April 6, 1956, the defendant published the following advertisement in a Minneapolis newspaper:</w:t>
      </w:r>
    </w:p>
    <w:p w14:paraId="15375320" w14:textId="77777777" w:rsidR="00CA0CF8" w:rsidRPr="00EF577A" w:rsidRDefault="00CA0CF8" w:rsidP="00CA0CF8">
      <w:pPr>
        <w:spacing w:before="100" w:beforeAutospacing="1" w:after="100" w:afterAutospacing="1"/>
        <w:jc w:val="center"/>
        <w:rPr>
          <w:szCs w:val="22"/>
        </w:rPr>
      </w:pPr>
      <w:r w:rsidRPr="00EF577A">
        <w:rPr>
          <w:rFonts w:cs="Arial"/>
          <w:szCs w:val="22"/>
        </w:rPr>
        <w:t>"Saturday 9 a.m. sharp</w:t>
      </w:r>
      <w:r w:rsidRPr="00EF577A">
        <w:rPr>
          <w:szCs w:val="22"/>
        </w:rPr>
        <w:t> </w:t>
      </w:r>
      <w:r w:rsidRPr="00EF577A">
        <w:rPr>
          <w:szCs w:val="22"/>
        </w:rPr>
        <w:br/>
      </w:r>
      <w:r w:rsidRPr="00EF577A">
        <w:rPr>
          <w:rFonts w:cs="Arial"/>
          <w:szCs w:val="22"/>
        </w:rPr>
        <w:t>3 Brand New Fur Coats</w:t>
      </w:r>
      <w:r w:rsidRPr="00EF577A">
        <w:rPr>
          <w:szCs w:val="22"/>
        </w:rPr>
        <w:t> </w:t>
      </w:r>
      <w:r w:rsidRPr="00EF577A">
        <w:rPr>
          <w:szCs w:val="22"/>
        </w:rPr>
        <w:br/>
      </w:r>
      <w:r w:rsidRPr="00EF577A">
        <w:rPr>
          <w:rFonts w:cs="Arial"/>
          <w:szCs w:val="22"/>
        </w:rPr>
        <w:t>Worth to $ 100.00</w:t>
      </w:r>
      <w:r w:rsidRPr="00EF577A">
        <w:rPr>
          <w:szCs w:val="22"/>
        </w:rPr>
        <w:t> </w:t>
      </w:r>
      <w:r w:rsidRPr="00EF577A">
        <w:rPr>
          <w:szCs w:val="22"/>
        </w:rPr>
        <w:br/>
      </w:r>
      <w:r w:rsidRPr="00EF577A">
        <w:rPr>
          <w:rFonts w:cs="Arial"/>
          <w:szCs w:val="22"/>
        </w:rPr>
        <w:t>First Come, First Served</w:t>
      </w:r>
      <w:r w:rsidRPr="00EF577A">
        <w:rPr>
          <w:szCs w:val="22"/>
        </w:rPr>
        <w:t> </w:t>
      </w:r>
      <w:r w:rsidRPr="00EF577A">
        <w:rPr>
          <w:szCs w:val="22"/>
        </w:rPr>
        <w:br/>
      </w:r>
      <w:r w:rsidRPr="00EF577A">
        <w:rPr>
          <w:rFonts w:cs="Arial"/>
          <w:szCs w:val="22"/>
        </w:rPr>
        <w:t>$ 1 Each"</w:t>
      </w:r>
    </w:p>
    <w:p w14:paraId="067CA8E0" w14:textId="77777777" w:rsidR="00CA0CF8" w:rsidRPr="00EF577A" w:rsidRDefault="00CA0CF8" w:rsidP="00CA0CF8">
      <w:pPr>
        <w:spacing w:before="100" w:beforeAutospacing="1" w:after="100" w:afterAutospacing="1"/>
        <w:rPr>
          <w:szCs w:val="22"/>
        </w:rPr>
      </w:pPr>
      <w:r w:rsidRPr="00EF577A">
        <w:rPr>
          <w:rFonts w:cs="Arial"/>
          <w:szCs w:val="22"/>
        </w:rPr>
        <w:t>On April 13, the defendant again published an advertisement in the same newspaper as follows:</w:t>
      </w:r>
    </w:p>
    <w:p w14:paraId="77676054" w14:textId="77777777" w:rsidR="00CA0CF8" w:rsidRPr="00EF577A" w:rsidRDefault="00CA0CF8" w:rsidP="00CA0CF8">
      <w:pPr>
        <w:spacing w:before="100" w:beforeAutospacing="1" w:after="100" w:afterAutospacing="1"/>
        <w:jc w:val="center"/>
        <w:rPr>
          <w:szCs w:val="22"/>
        </w:rPr>
      </w:pPr>
      <w:r w:rsidRPr="00EF577A">
        <w:rPr>
          <w:rFonts w:cs="Arial"/>
          <w:szCs w:val="22"/>
        </w:rPr>
        <w:t>"Saturday 9 a.m.</w:t>
      </w:r>
      <w:r w:rsidRPr="00EF577A">
        <w:rPr>
          <w:szCs w:val="22"/>
        </w:rPr>
        <w:t> </w:t>
      </w:r>
      <w:r w:rsidRPr="00EF577A">
        <w:rPr>
          <w:szCs w:val="22"/>
        </w:rPr>
        <w:br/>
      </w:r>
      <w:r w:rsidRPr="00EF577A">
        <w:rPr>
          <w:rFonts w:cs="Arial"/>
          <w:szCs w:val="22"/>
        </w:rPr>
        <w:t>2 Brand New Pastel Mink 3-Skin Scarfs</w:t>
      </w:r>
      <w:r w:rsidRPr="00EF577A">
        <w:rPr>
          <w:szCs w:val="22"/>
        </w:rPr>
        <w:t> </w:t>
      </w:r>
      <w:r w:rsidRPr="00EF577A">
        <w:rPr>
          <w:szCs w:val="22"/>
        </w:rPr>
        <w:br/>
      </w:r>
      <w:r w:rsidRPr="00EF577A">
        <w:rPr>
          <w:rFonts w:cs="Arial"/>
          <w:szCs w:val="22"/>
        </w:rPr>
        <w:t>Selling for $ 89.50</w:t>
      </w:r>
      <w:r w:rsidRPr="00EF577A">
        <w:rPr>
          <w:szCs w:val="22"/>
        </w:rPr>
        <w:t> </w:t>
      </w:r>
      <w:r w:rsidRPr="00EF577A">
        <w:rPr>
          <w:szCs w:val="22"/>
        </w:rPr>
        <w:br/>
      </w:r>
      <w:r w:rsidRPr="00EF577A">
        <w:rPr>
          <w:rFonts w:cs="Arial"/>
          <w:szCs w:val="22"/>
        </w:rPr>
        <w:t>Out they go Saturday.</w:t>
      </w:r>
      <w:r w:rsidRPr="00EF577A">
        <w:rPr>
          <w:szCs w:val="22"/>
        </w:rPr>
        <w:t> </w:t>
      </w:r>
      <w:r w:rsidRPr="00EF577A">
        <w:rPr>
          <w:szCs w:val="22"/>
        </w:rPr>
        <w:br/>
      </w:r>
      <w:r w:rsidRPr="00EF577A">
        <w:rPr>
          <w:rFonts w:cs="Arial"/>
          <w:szCs w:val="22"/>
        </w:rPr>
        <w:t xml:space="preserve">Each </w:t>
      </w:r>
      <w:proofErr w:type="gramStart"/>
      <w:r w:rsidRPr="00EF577A">
        <w:rPr>
          <w:rFonts w:cs="Arial"/>
          <w:szCs w:val="22"/>
        </w:rPr>
        <w:t>. . . .</w:t>
      </w:r>
      <w:proofErr w:type="gramEnd"/>
      <w:r w:rsidRPr="00EF577A">
        <w:rPr>
          <w:rFonts w:cs="Arial"/>
          <w:szCs w:val="22"/>
        </w:rPr>
        <w:t xml:space="preserve"> $ 1.00</w:t>
      </w:r>
      <w:r w:rsidRPr="00EF577A">
        <w:rPr>
          <w:szCs w:val="22"/>
        </w:rPr>
        <w:t> </w:t>
      </w:r>
      <w:r w:rsidRPr="00EF577A">
        <w:rPr>
          <w:szCs w:val="22"/>
        </w:rPr>
        <w:br/>
      </w:r>
      <w:r w:rsidRPr="00EF577A">
        <w:rPr>
          <w:rFonts w:cs="Arial"/>
          <w:szCs w:val="22"/>
        </w:rPr>
        <w:t>1 Black Lapin Stole</w:t>
      </w:r>
      <w:r w:rsidRPr="00EF577A">
        <w:rPr>
          <w:szCs w:val="22"/>
        </w:rPr>
        <w:t> </w:t>
      </w:r>
      <w:r w:rsidRPr="00EF577A">
        <w:rPr>
          <w:szCs w:val="22"/>
        </w:rPr>
        <w:br/>
      </w:r>
      <w:r w:rsidRPr="00EF577A">
        <w:rPr>
          <w:rFonts w:cs="Arial"/>
          <w:szCs w:val="22"/>
        </w:rPr>
        <w:t>Beautiful, worth $ 139.50 . . . $ 1.00</w:t>
      </w:r>
      <w:r w:rsidRPr="00EF577A">
        <w:rPr>
          <w:szCs w:val="22"/>
        </w:rPr>
        <w:t> </w:t>
      </w:r>
      <w:r w:rsidRPr="00EF577A">
        <w:rPr>
          <w:szCs w:val="22"/>
        </w:rPr>
        <w:br/>
      </w:r>
      <w:r w:rsidRPr="00EF577A">
        <w:rPr>
          <w:rFonts w:cs="Arial"/>
          <w:szCs w:val="22"/>
        </w:rPr>
        <w:t>First Come, First Served"</w:t>
      </w:r>
    </w:p>
    <w:p w14:paraId="53E7773E" w14:textId="77777777" w:rsidR="00CA0CF8" w:rsidRPr="00EF577A" w:rsidRDefault="00CA0CF8" w:rsidP="00CA0CF8">
      <w:pPr>
        <w:spacing w:before="100" w:beforeAutospacing="1" w:after="100" w:afterAutospacing="1"/>
        <w:rPr>
          <w:szCs w:val="22"/>
        </w:rPr>
      </w:pPr>
      <w:r w:rsidRPr="00EF577A">
        <w:rPr>
          <w:rFonts w:cs="Arial"/>
          <w:szCs w:val="22"/>
        </w:rPr>
        <w:t xml:space="preserve">The record supports the findings of the court that on each of the Saturdays following the publication of the above-described </w:t>
      </w:r>
      <w:proofErr w:type="spellStart"/>
      <w:r w:rsidRPr="00EF577A">
        <w:rPr>
          <w:rFonts w:cs="Arial"/>
          <w:szCs w:val="22"/>
        </w:rPr>
        <w:t>ads</w:t>
      </w:r>
      <w:proofErr w:type="spellEnd"/>
      <w:r w:rsidRPr="00EF577A">
        <w:rPr>
          <w:rFonts w:cs="Arial"/>
          <w:szCs w:val="22"/>
        </w:rPr>
        <w:t xml:space="preserve"> the plaintiff was the first to present himself at the appropriate counter in the defendant's store and on each occasion demanded the coat and the stole so advertised and indicated his readiness to pay the sale price of $1. On both occasions, the defendant refused to sell the merchandise to the plaintiff, stating on the first occasion that by a "house rule" the offer was intended for women only and sales would not be made to men, and on the second visit that plaintiff knew defendant's house rules.</w:t>
      </w:r>
    </w:p>
    <w:p w14:paraId="71D661C2" w14:textId="77777777" w:rsidR="00CA0CF8" w:rsidRPr="00EF577A" w:rsidRDefault="00CA0CF8" w:rsidP="00CA0CF8">
      <w:pPr>
        <w:spacing w:before="100" w:beforeAutospacing="1" w:after="100" w:afterAutospacing="1"/>
        <w:rPr>
          <w:szCs w:val="22"/>
        </w:rPr>
      </w:pPr>
      <w:r w:rsidRPr="00EF577A">
        <w:rPr>
          <w:rFonts w:cs="Arial"/>
          <w:szCs w:val="22"/>
        </w:rPr>
        <w:t>The trial court properly disallowed plaintiff's claim for the value of the fur coats since the value of these articles was speculative and uncertain. The only evidence of value was the advertisement itself to the effect that the coats were "Worth to $100.00," how much less being speculative especially in view of the price for which they were offered for sale. With reference to the offer of the defendant on April 13, 1956, to sell the "1 Black Lapin Stole * * * worth $139.50 * * *" the trial court held that the value of this article was established and granted judgment in favor of the plaintiff for that amount less the $1 quoted purchase price.</w:t>
      </w:r>
    </w:p>
    <w:p w14:paraId="48714052" w14:textId="77777777" w:rsidR="00CA0CF8" w:rsidRPr="00EF577A" w:rsidRDefault="00CA0CF8" w:rsidP="00CA0CF8">
      <w:pPr>
        <w:spacing w:before="100" w:beforeAutospacing="1" w:after="100" w:afterAutospacing="1"/>
        <w:rPr>
          <w:szCs w:val="22"/>
        </w:rPr>
      </w:pPr>
      <w:r w:rsidRPr="00EF577A">
        <w:rPr>
          <w:rFonts w:cs="Arial"/>
          <w:szCs w:val="22"/>
        </w:rPr>
        <w:lastRenderedPageBreak/>
        <w:t>1.  The defendant contends that a newspaper advertisement offering items of merchandise for sale at a named price is a "unilateral offer" which may be withdrawn without notice. He relies upon authorities which hold that, where an advertiser publishes in a newspaper that he has a certain quantity or quality of goods which he wants to dispose of at certain prices and on certain terms, such advertisements are not offers which become contracts as soon as any person to whose notice they may come signifies his acceptance by notifying the other that he will take a certain quantity of them. Such advertisements have been construed as an invitation for an offer of sale on the terms stated, which offer, when received, may be accepted or rejected and which therefore does not become a contract of sale until accepted by the seller; and until a contract has been so made, the seller may modify or revoke such prices or terms</w:t>
      </w:r>
      <w:proofErr w:type="gramStart"/>
      <w:r w:rsidRPr="00EF577A">
        <w:rPr>
          <w:rFonts w:cs="Arial"/>
          <w:szCs w:val="22"/>
        </w:rPr>
        <w:t>. . . .</w:t>
      </w:r>
      <w:proofErr w:type="gramEnd"/>
    </w:p>
    <w:p w14:paraId="3BBD528C" w14:textId="77777777" w:rsidR="00CA0CF8" w:rsidRPr="00EF577A" w:rsidRDefault="00CA0CF8" w:rsidP="00CA0CF8">
      <w:pPr>
        <w:spacing w:before="100" w:beforeAutospacing="1" w:after="100" w:afterAutospacing="1"/>
        <w:rPr>
          <w:szCs w:val="22"/>
        </w:rPr>
      </w:pPr>
      <w:r w:rsidRPr="00EF577A">
        <w:rPr>
          <w:rFonts w:cs="Arial"/>
          <w:szCs w:val="22"/>
        </w:rPr>
        <w:t xml:space="preserve">The defendant relies principally on </w:t>
      </w:r>
      <w:r w:rsidRPr="00EF577A">
        <w:rPr>
          <w:rFonts w:cs="Arial"/>
          <w:i/>
          <w:szCs w:val="22"/>
        </w:rPr>
        <w:t>Craft v. Elder &amp; Johnston Co</w:t>
      </w:r>
      <w:r w:rsidRPr="00EF577A">
        <w:rPr>
          <w:rFonts w:cs="Arial"/>
          <w:szCs w:val="22"/>
        </w:rPr>
        <w:t xml:space="preserve">. </w:t>
      </w:r>
      <w:r w:rsidRPr="00EF577A">
        <w:rPr>
          <w:rFonts w:cs="Arial"/>
          <w:i/>
          <w:szCs w:val="22"/>
        </w:rPr>
        <w:t>supra</w:t>
      </w:r>
      <w:r w:rsidRPr="00EF577A">
        <w:rPr>
          <w:rFonts w:cs="Arial"/>
          <w:szCs w:val="22"/>
        </w:rPr>
        <w:t>. In that case, the court discussed the legal effect of an advertisement offering for sale, as a one-day special, an electric sewing machine at a named price. The view was expressed that the advertisement was (34 Ohio L.A. 605, 38 N.E. [2d] 417) "not an offer made to any specific person but was made to the public generally. Thereby it would be properly designated as a unilateral offer and not being supported by any consideration could be withdrawn at will and without notice." It is true that such an offer may be withdrawn before acceptance. Since all offers are by their nature unilateral because they are necessarily made by one party or on one side in the negotiation of a contract, the distinction made in that decision between a unilateral offer and a unilateral contract is not clear. On the facts before us we are concerned with whether the advertisement constituted an offer, and, if so, whether the plaintiff's conduct constituted an acceptance.</w:t>
      </w:r>
    </w:p>
    <w:p w14:paraId="691486A5" w14:textId="77777777" w:rsidR="00CA0CF8" w:rsidRPr="00EF577A" w:rsidRDefault="00CA0CF8" w:rsidP="00CA0CF8">
      <w:pPr>
        <w:spacing w:before="100" w:beforeAutospacing="1" w:after="100" w:afterAutospacing="1"/>
        <w:rPr>
          <w:szCs w:val="22"/>
        </w:rPr>
      </w:pPr>
      <w:r w:rsidRPr="00EF577A">
        <w:rPr>
          <w:rFonts w:cs="Arial"/>
          <w:szCs w:val="22"/>
        </w:rPr>
        <w:t>There are numerous authorities which hold that a particular advertisement in a newspaper or circular letter relating to a sale of articles may be construed by the court as constituting an offer, acceptance of which would complete a contract</w:t>
      </w:r>
      <w:proofErr w:type="gramStart"/>
      <w:r w:rsidRPr="00EF577A">
        <w:rPr>
          <w:rFonts w:cs="Arial"/>
          <w:szCs w:val="22"/>
        </w:rPr>
        <w:t>. . . .</w:t>
      </w:r>
      <w:proofErr w:type="gramEnd"/>
    </w:p>
    <w:p w14:paraId="537E5436" w14:textId="77777777" w:rsidR="00CA0CF8" w:rsidRPr="00EF577A" w:rsidRDefault="00CA0CF8" w:rsidP="00CA0CF8">
      <w:pPr>
        <w:spacing w:before="100" w:beforeAutospacing="1" w:after="100" w:afterAutospacing="1"/>
        <w:rPr>
          <w:szCs w:val="22"/>
        </w:rPr>
      </w:pPr>
      <w:r w:rsidRPr="00EF577A">
        <w:rPr>
          <w:rFonts w:cs="Arial"/>
          <w:szCs w:val="22"/>
        </w:rPr>
        <w:t>The test of whether a binding obligation may originate in advertisements addressed to the general public is "whether the facts show that some performance was promised in positive terms in return for something requested." 1 Williston, Contracts (Rev. ed.) § 27.</w:t>
      </w:r>
    </w:p>
    <w:p w14:paraId="30718784" w14:textId="77777777" w:rsidR="00CA0CF8" w:rsidRPr="00EF577A" w:rsidRDefault="00CA0CF8" w:rsidP="00CA0CF8">
      <w:pPr>
        <w:spacing w:before="100" w:beforeAutospacing="1" w:after="100" w:afterAutospacing="1"/>
        <w:rPr>
          <w:szCs w:val="22"/>
        </w:rPr>
      </w:pPr>
      <w:r w:rsidRPr="00EF577A">
        <w:rPr>
          <w:rFonts w:cs="Arial"/>
          <w:szCs w:val="22"/>
        </w:rPr>
        <w:t>The authorities above cited emphasize that, where the offer is clear, definite, and explicit, and leaves nothing open for negotiation, it constitutes an offer, acceptance of which will complete the contract. The most recent case on the subject is Johnson v. Capital City Ford Co. (La. App.) 85 So. (2d) 75, in which the court pointed out that a newspaper advertisement relating to the purchase and sale of automobiles may constitute an offer, acceptance of which will consummate a contract and create an obligation in the offeror to perform according to the terms of the published offer.</w:t>
      </w:r>
    </w:p>
    <w:p w14:paraId="0E689C03" w14:textId="77777777" w:rsidR="00CA0CF8" w:rsidRPr="00EF577A" w:rsidRDefault="00CA0CF8" w:rsidP="00CA0CF8">
      <w:pPr>
        <w:spacing w:before="100" w:beforeAutospacing="1" w:after="100" w:afterAutospacing="1"/>
        <w:rPr>
          <w:szCs w:val="22"/>
        </w:rPr>
      </w:pPr>
      <w:r w:rsidRPr="00EF577A">
        <w:rPr>
          <w:rFonts w:cs="Arial"/>
          <w:szCs w:val="22"/>
        </w:rPr>
        <w:t xml:space="preserve">Whether in any individual instance a newspaper advertisement is an offer rather than an invitation to make an offer depends on the legal intention of the parties and the surrounding circumstances. Annotation, 157 A.L.R. 744, 751; 77 C.J.S., Sales, § 25b; 17 C.J.S., Contracts, § 389. We are of the view on the facts before us that the offer by the defendant of the sale of the Lapin fur was clear, definite, and explicit, and left nothing open for negotiation. The plaintiff having successfully managed to be the first one to appear at the seller's place of business to be served, as requested by the advertisement, and having offered the stated purchase price of the article, he was entitled to performance on the part </w:t>
      </w:r>
      <w:r w:rsidRPr="00EF577A">
        <w:rPr>
          <w:rFonts w:cs="Arial"/>
          <w:szCs w:val="22"/>
        </w:rPr>
        <w:lastRenderedPageBreak/>
        <w:t>of the defendant. We think the trial court was correct in holding that there was in the conduct of the parties a sufficient mutuality of obligation to constitute a contract of sale.</w:t>
      </w:r>
    </w:p>
    <w:p w14:paraId="5E35D663" w14:textId="77777777" w:rsidR="00CA0CF8" w:rsidRPr="00EF577A" w:rsidRDefault="00CA0CF8" w:rsidP="00CA0CF8">
      <w:pPr>
        <w:spacing w:before="100" w:beforeAutospacing="1" w:after="100" w:afterAutospacing="1"/>
        <w:rPr>
          <w:szCs w:val="22"/>
        </w:rPr>
      </w:pPr>
      <w:r w:rsidRPr="00EF577A">
        <w:rPr>
          <w:rFonts w:cs="Arial"/>
          <w:szCs w:val="22"/>
        </w:rPr>
        <w:t>2.  The defendant contends that the offer was modified by a "house rule" to the effect that only women were qualified to receive the bargains advertised. The advertisement contained no such restriction. This objection may be disposed of briefly by stating that, while an advertiser has the right at any time before acceptance to modify his offer, he does not have the right, after acceptance, to impose new or arbitrary conditions not contained in the published offer. . . .</w:t>
      </w:r>
    </w:p>
    <w:p w14:paraId="526E6FC0" w14:textId="77777777" w:rsidR="00CA0CF8" w:rsidRPr="00EF577A" w:rsidRDefault="00CA0CF8" w:rsidP="00CA0CF8">
      <w:pPr>
        <w:autoSpaceDE w:val="0"/>
        <w:autoSpaceDN w:val="0"/>
        <w:rPr>
          <w:rFonts w:cs="Arial"/>
          <w:szCs w:val="22"/>
        </w:rPr>
      </w:pPr>
      <w:r w:rsidRPr="00EF577A">
        <w:rPr>
          <w:rFonts w:cs="Arial"/>
          <w:szCs w:val="22"/>
        </w:rPr>
        <w:t>Affirmed.</w:t>
      </w:r>
    </w:p>
    <w:p w14:paraId="71C20625" w14:textId="77777777" w:rsidR="00CA0CF8" w:rsidRPr="00EF577A" w:rsidRDefault="00CA0CF8" w:rsidP="00CA0CF8">
      <w:pPr>
        <w:autoSpaceDE w:val="0"/>
        <w:autoSpaceDN w:val="0"/>
        <w:rPr>
          <w:rFonts w:cs="Arial"/>
          <w:szCs w:val="22"/>
        </w:rPr>
      </w:pPr>
    </w:p>
    <w:p w14:paraId="43312603" w14:textId="77777777" w:rsidR="001A3E94" w:rsidRPr="00EF577A" w:rsidRDefault="001A3E94" w:rsidP="001A3E94">
      <w:pPr>
        <w:pBdr>
          <w:top w:val="none" w:sz="0" w:space="4" w:color="auto"/>
        </w:pBdr>
        <w:spacing w:line="275" w:lineRule="atLeast"/>
        <w:jc w:val="both"/>
        <w:rPr>
          <w:szCs w:val="22"/>
        </w:rPr>
      </w:pPr>
      <w:bookmarkStart w:id="6" w:name="Ide910ccbd8d211d983e7e9deff98dc6f_Targe"/>
      <w:bookmarkStart w:id="7" w:name="co_document_1"/>
      <w:bookmarkEnd w:id="6"/>
    </w:p>
    <w:p w14:paraId="4F8C09D8" w14:textId="63D886F3" w:rsidR="001A3E94" w:rsidRPr="00EF577A" w:rsidRDefault="001A3E94" w:rsidP="001A3E94">
      <w:pPr>
        <w:ind w:left="101" w:right="101"/>
        <w:jc w:val="center"/>
        <w:outlineLvl w:val="0"/>
        <w:rPr>
          <w:color w:val="252525"/>
          <w:szCs w:val="22"/>
        </w:rPr>
      </w:pPr>
      <w:bookmarkStart w:id="8" w:name="_Hlk119224845"/>
      <w:bookmarkStart w:id="9" w:name="_Toc186019883"/>
      <w:bookmarkEnd w:id="7"/>
      <w:r w:rsidRPr="00EF577A">
        <w:rPr>
          <w:color w:val="252525"/>
          <w:szCs w:val="22"/>
        </w:rPr>
        <w:t>Klar v. H. &amp; M. Parcel Room</w:t>
      </w:r>
      <w:bookmarkEnd w:id="9"/>
    </w:p>
    <w:bookmarkEnd w:id="8"/>
    <w:p w14:paraId="4A628B9E" w14:textId="77777777" w:rsidR="001A3E94" w:rsidRPr="00EF577A" w:rsidRDefault="001A3E94" w:rsidP="001A3E94">
      <w:pPr>
        <w:spacing w:line="275" w:lineRule="atLeast"/>
        <w:jc w:val="center"/>
        <w:rPr>
          <w:szCs w:val="22"/>
        </w:rPr>
      </w:pPr>
      <w:r w:rsidRPr="00EF577A">
        <w:rPr>
          <w:color w:val="000000"/>
          <w:szCs w:val="22"/>
        </w:rPr>
        <w:t>270 A.D. 538 (1946)</w:t>
      </w:r>
    </w:p>
    <w:p w14:paraId="419318AC" w14:textId="77777777" w:rsidR="001A3E94" w:rsidRPr="00EF577A" w:rsidRDefault="001A3E94" w:rsidP="001A3E94">
      <w:pPr>
        <w:spacing w:line="275" w:lineRule="atLeast"/>
        <w:jc w:val="center"/>
        <w:rPr>
          <w:szCs w:val="22"/>
        </w:rPr>
      </w:pPr>
      <w:r w:rsidRPr="00EF577A">
        <w:rPr>
          <w:color w:val="000000"/>
          <w:szCs w:val="22"/>
        </w:rPr>
        <w:t>Supreme Court, Appellate Division, First Department, New York.</w:t>
      </w:r>
      <w:r w:rsidRPr="00EF577A">
        <w:rPr>
          <w:color w:val="000000"/>
          <w:szCs w:val="22"/>
        </w:rPr>
        <w:tab/>
      </w:r>
    </w:p>
    <w:p w14:paraId="43264405" w14:textId="77777777" w:rsidR="001A3E94" w:rsidRPr="00EF577A" w:rsidRDefault="001A3E94" w:rsidP="001A3E94">
      <w:pPr>
        <w:keepNext/>
        <w:keepLines/>
        <w:spacing w:before="200" w:line="275" w:lineRule="atLeast"/>
        <w:jc w:val="both"/>
        <w:rPr>
          <w:szCs w:val="22"/>
        </w:rPr>
      </w:pPr>
      <w:r w:rsidRPr="00EF577A">
        <w:rPr>
          <w:b/>
          <w:color w:val="212121"/>
          <w:szCs w:val="22"/>
        </w:rPr>
        <w:t>Opinion</w:t>
      </w:r>
    </w:p>
    <w:p w14:paraId="2E0C3CDF" w14:textId="77777777" w:rsidR="001A3E94" w:rsidRPr="00EF577A" w:rsidRDefault="001A3E94" w:rsidP="001A3E94">
      <w:pPr>
        <w:spacing w:before="200" w:line="275" w:lineRule="atLeast"/>
        <w:jc w:val="both"/>
        <w:rPr>
          <w:szCs w:val="22"/>
        </w:rPr>
      </w:pPr>
      <w:bookmarkStart w:id="10" w:name="co_anchor_Id26aa8c3a65f11eabea3f0dc9fb6"/>
      <w:r w:rsidRPr="00EF577A">
        <w:rPr>
          <w:color w:val="000000"/>
          <w:szCs w:val="22"/>
        </w:rPr>
        <w:t>COHN Justice.</w:t>
      </w:r>
    </w:p>
    <w:p w14:paraId="268814AD" w14:textId="77777777" w:rsidR="001A3E94" w:rsidRPr="00EF577A" w:rsidRDefault="001A3E94" w:rsidP="001A3E94">
      <w:pPr>
        <w:spacing w:before="400" w:line="275" w:lineRule="atLeast"/>
        <w:jc w:val="both"/>
        <w:rPr>
          <w:szCs w:val="22"/>
        </w:rPr>
      </w:pPr>
      <w:bookmarkStart w:id="11" w:name="co_anchor_Id26aa8c5a65f11eabea3f0dc9fb6"/>
      <w:bookmarkEnd w:id="10"/>
      <w:r w:rsidRPr="00EF577A">
        <w:rPr>
          <w:color w:val="000000"/>
          <w:szCs w:val="22"/>
        </w:rPr>
        <w:t>Defendant operates a parcel room on the concourse of the 33rd Street Station of the Hudson &amp; Manhattan Railroad Co. in the City of New York at which packages may be checked by the general public. One Ellis, acting for plaintiffs, checked a package two feet long and one foot wide containing valuable fur skins. In exchange he received a parcel check numbered 34–971. Two days later plaintiff Sidney R. Klar went to defendant's parcel room, presented the parcel check and demanded the package, but was informed by defendant that by mistake the parcel had been delivered to another who presented a receipt bearing another number.</w:t>
      </w:r>
    </w:p>
    <w:bookmarkEnd w:id="11"/>
    <w:p w14:paraId="4D8DE645" w14:textId="77777777" w:rsidR="001A3E94" w:rsidRPr="00EF577A" w:rsidRDefault="001A3E94" w:rsidP="001A3E94">
      <w:pPr>
        <w:spacing w:before="200" w:line="275" w:lineRule="atLeast"/>
        <w:jc w:val="both"/>
        <w:rPr>
          <w:szCs w:val="22"/>
        </w:rPr>
      </w:pPr>
      <w:r w:rsidRPr="00EF577A">
        <w:rPr>
          <w:color w:val="000000"/>
          <w:szCs w:val="22"/>
        </w:rPr>
        <w:t>The parcel check accepted by plaintiffs was made of cardboard three inches in length and two and one-half inches in width. It had conspicuously printed on its face at the bottom the identifying number in red type one-half inch high. Upon the upper portion of the receipt, together with other immaterial printed matter, there appeared in red letters one-quarter inch high the word ‘Contract’ and directly underneath in finer type (legible on close inspection), crowded in a space less than an inch in width and running across the face of the stub, the following language:</w:t>
      </w:r>
    </w:p>
    <w:p w14:paraId="57C7D276" w14:textId="77777777" w:rsidR="001A3E94" w:rsidRPr="00EF577A" w:rsidRDefault="001A3E94" w:rsidP="001A3E94">
      <w:pPr>
        <w:spacing w:before="200" w:line="275" w:lineRule="atLeast"/>
        <w:jc w:val="both"/>
        <w:rPr>
          <w:szCs w:val="22"/>
        </w:rPr>
      </w:pPr>
      <w:r w:rsidRPr="00EF577A">
        <w:rPr>
          <w:color w:val="000000"/>
          <w:szCs w:val="22"/>
        </w:rPr>
        <w:t>‘This Contract is made on the following conditions and in consideration of the low rate at which the service is performed, and its acceptance by the depositor, expressly binds both parties to the Contract.</w:t>
      </w:r>
    </w:p>
    <w:p w14:paraId="27E1DA33" w14:textId="77777777" w:rsidR="001A3E94" w:rsidRPr="00EF577A" w:rsidRDefault="001A3E94" w:rsidP="001A3E94">
      <w:pPr>
        <w:spacing w:before="200" w:line="275" w:lineRule="atLeast"/>
        <w:jc w:val="both"/>
        <w:rPr>
          <w:szCs w:val="22"/>
        </w:rPr>
      </w:pPr>
      <w:r w:rsidRPr="00EF577A">
        <w:rPr>
          <w:color w:val="000000"/>
          <w:szCs w:val="22"/>
        </w:rPr>
        <w:t>‘Charge—10 cents for every 24 hours or fraction thereof, for each piece covered by this contract.</w:t>
      </w:r>
    </w:p>
    <w:p w14:paraId="1E7CAE7F" w14:textId="77777777" w:rsidR="001A3E94" w:rsidRPr="00EF577A" w:rsidRDefault="001A3E94" w:rsidP="001A3E94">
      <w:pPr>
        <w:spacing w:before="200" w:line="275" w:lineRule="atLeast"/>
        <w:jc w:val="both"/>
        <w:rPr>
          <w:szCs w:val="22"/>
        </w:rPr>
      </w:pPr>
      <w:r w:rsidRPr="00EF577A">
        <w:rPr>
          <w:color w:val="000000"/>
          <w:szCs w:val="22"/>
        </w:rPr>
        <w:t>‘Loss or damage—no claim shall be made in excess of $25.00 for loss or damage to any piece.</w:t>
      </w:r>
    </w:p>
    <w:p w14:paraId="303EFB0E" w14:textId="77777777" w:rsidR="001A3E94" w:rsidRPr="00EF577A" w:rsidRDefault="001A3E94" w:rsidP="001A3E94">
      <w:pPr>
        <w:spacing w:before="200" w:line="275" w:lineRule="atLeast"/>
        <w:jc w:val="both"/>
        <w:rPr>
          <w:szCs w:val="22"/>
        </w:rPr>
      </w:pPr>
      <w:r w:rsidRPr="00EF577A">
        <w:rPr>
          <w:color w:val="000000"/>
          <w:szCs w:val="22"/>
        </w:rPr>
        <w:lastRenderedPageBreak/>
        <w:t>‘Unclaimed articles remaining after 90 days may be sold at public or private sale to satisfy accrued charges.’</w:t>
      </w:r>
    </w:p>
    <w:p w14:paraId="7B321569" w14:textId="2EB8BE24" w:rsidR="001A3E94" w:rsidRPr="00EF577A" w:rsidRDefault="001A3E94" w:rsidP="001A3E94">
      <w:pPr>
        <w:spacing w:before="200" w:line="275" w:lineRule="atLeast"/>
        <w:jc w:val="both"/>
        <w:rPr>
          <w:szCs w:val="22"/>
        </w:rPr>
      </w:pPr>
      <w:r w:rsidRPr="00EF577A">
        <w:rPr>
          <w:color w:val="000000"/>
          <w:szCs w:val="22"/>
        </w:rPr>
        <w:t>The manager of defendant's parcel room, in describing the procedure followed in the checking of articles, stated that when a parcel is accepted it is placed in the parcel room in the particular bin reserved for packages of similar size; the depositor is charged ten cents and a receipt is issued to him upon which there appears a number and the printed matter above quoted. A stub bearing the same number as the receipt is placed with the package. When a depositor seeks the return of an</w:t>
      </w:r>
      <w:r w:rsidR="005355A6">
        <w:rPr>
          <w:color w:val="000000"/>
          <w:szCs w:val="22"/>
        </w:rPr>
        <w:t xml:space="preserve"> </w:t>
      </w:r>
      <w:r w:rsidRPr="00EF577A">
        <w:rPr>
          <w:color w:val="000000"/>
          <w:szCs w:val="22"/>
        </w:rPr>
        <w:t>article</w:t>
      </w:r>
      <w:r w:rsidR="005355A6">
        <w:rPr>
          <w:color w:val="000000"/>
          <w:szCs w:val="22"/>
        </w:rPr>
        <w:t>,</w:t>
      </w:r>
      <w:r w:rsidRPr="00EF577A">
        <w:rPr>
          <w:color w:val="000000"/>
          <w:szCs w:val="22"/>
        </w:rPr>
        <w:t xml:space="preserve"> he surrenders his receipt and the parcel bearing the stub with the corresponding number is delivered.</w:t>
      </w:r>
    </w:p>
    <w:p w14:paraId="4B6C485E" w14:textId="3E5B031D" w:rsidR="001A3E94" w:rsidRPr="00EF577A" w:rsidRDefault="001A3E94" w:rsidP="001A3E94">
      <w:pPr>
        <w:spacing w:before="200" w:line="275" w:lineRule="atLeast"/>
        <w:jc w:val="both"/>
        <w:rPr>
          <w:szCs w:val="22"/>
        </w:rPr>
      </w:pPr>
      <w:r w:rsidRPr="00EF577A">
        <w:rPr>
          <w:color w:val="000000"/>
          <w:szCs w:val="22"/>
        </w:rPr>
        <w:t>Ellis, who checked the parcel for plaintiffs, testified that he did not read the ticket given to him at the time; that he was not asked to read it and that he thought it was merely a receipt for the package. Aside from the fact that the receipt given by defendant to plaintiffs had the limitation of liability printed thereon, there is no evidence in the record that any other form of notice was given by defendant to plaintiffs.</w:t>
      </w:r>
    </w:p>
    <w:p w14:paraId="1421154B" w14:textId="77777777" w:rsidR="001A3E94" w:rsidRPr="00EF577A" w:rsidRDefault="001A3E94" w:rsidP="001A3E94">
      <w:pPr>
        <w:spacing w:before="200" w:line="275" w:lineRule="atLeast"/>
        <w:jc w:val="both"/>
        <w:rPr>
          <w:color w:val="000000"/>
          <w:szCs w:val="22"/>
        </w:rPr>
      </w:pPr>
      <w:r w:rsidRPr="00EF577A">
        <w:rPr>
          <w:color w:val="000000"/>
          <w:szCs w:val="22"/>
        </w:rPr>
        <w:t>The present action was brought in the Municipal Court of the City of New York to recover $1000, the alleged value of the parcel checked with defendant. In the trial court a judgment was entered in favor of plaintiffs for $939.50. Upon appeal to the Appellate Term, the judgment was modified by reducing plaintiffs' recovery to $25 upon the ground that defendant's liability under the contract is limited to that sum, and that the limitation of liability was sufficiently brought to plaintiffs' attention to bind them contractually. Apparently the Appellate Term was of the view that plaintiffs are presumed to have had knowledge of the limitation of defendant's liability for loss or damage because this condition was printed on the face of the parcel check given to plaintiffs.</w:t>
      </w:r>
    </w:p>
    <w:p w14:paraId="543A9B3D" w14:textId="77777777" w:rsidR="001A3E94" w:rsidRPr="00EF577A" w:rsidRDefault="001A3E94" w:rsidP="001A3E94">
      <w:pPr>
        <w:jc w:val="both"/>
        <w:rPr>
          <w:color w:val="000000"/>
          <w:szCs w:val="22"/>
        </w:rPr>
      </w:pPr>
    </w:p>
    <w:p w14:paraId="67624774" w14:textId="27449D08" w:rsidR="001A3E94" w:rsidRPr="00EF577A" w:rsidRDefault="001A3E94" w:rsidP="001A3E94">
      <w:pPr>
        <w:jc w:val="both"/>
        <w:rPr>
          <w:szCs w:val="22"/>
        </w:rPr>
      </w:pPr>
      <w:bookmarkStart w:id="12" w:name="co_anchor_B11946100817_1"/>
      <w:bookmarkStart w:id="13" w:name="co_anchor_B21946100817_1"/>
      <w:bookmarkStart w:id="14" w:name="co_anchor_B31946100817_1"/>
      <w:bookmarkStart w:id="15" w:name="co_anchor_B41946100817_1"/>
      <w:bookmarkEnd w:id="12"/>
      <w:bookmarkEnd w:id="13"/>
      <w:bookmarkEnd w:id="14"/>
      <w:bookmarkEnd w:id="15"/>
      <w:r w:rsidRPr="00EF577A">
        <w:rPr>
          <w:color w:val="000000"/>
          <w:szCs w:val="22"/>
        </w:rPr>
        <w:t xml:space="preserve">We are unable to concur in the finding of the Appellate Term. In the absence of a special contract, express or implied, a bailee accepting baggage to be checked in its parcel room on payment of a nominal sum becomes a bailee for hire and is bound to exercise ordinary care in keeping and safeguarding the property. The measure of the bailee's liability for loss of the property through its negligence is the reasonable value of the property. </w:t>
      </w:r>
      <w:hyperlink r:id="rId8">
        <w:r w:rsidRPr="00EF577A">
          <w:rPr>
            <w:color w:val="0E568C"/>
            <w:szCs w:val="22"/>
          </w:rPr>
          <w:t>8 C.J.S., Bailments, § 55, p. 364</w:t>
        </w:r>
      </w:hyperlink>
      <w:r w:rsidRPr="00EF577A">
        <w:rPr>
          <w:color w:val="000000"/>
          <w:szCs w:val="22"/>
        </w:rPr>
        <w:t xml:space="preserve">; </w:t>
      </w:r>
      <w:hyperlink r:id="rId9">
        <w:r w:rsidRPr="00EF577A">
          <w:rPr>
            <w:color w:val="0E568C"/>
            <w:szCs w:val="22"/>
          </w:rPr>
          <w:t>Cohen v. Henry Siegel Co., 220 Mass. 215, 107 N.E. 912;</w:t>
        </w:r>
      </w:hyperlink>
      <w:r w:rsidRPr="00EF577A">
        <w:rPr>
          <w:color w:val="000000"/>
          <w:szCs w:val="22"/>
        </w:rPr>
        <w:t xml:space="preserve"> </w:t>
      </w:r>
      <w:hyperlink r:id="rId10">
        <w:r w:rsidRPr="00EF577A">
          <w:rPr>
            <w:color w:val="0E568C"/>
            <w:szCs w:val="22"/>
          </w:rPr>
          <w:t>Jones v. Great Northern Ry. Co., 68 Mont. 231,</w:t>
        </w:r>
      </w:hyperlink>
      <w:r w:rsidRPr="00EF577A">
        <w:rPr>
          <w:color w:val="000000"/>
          <w:szCs w:val="22"/>
        </w:rPr>
        <w:t xml:space="preserve"> </w:t>
      </w:r>
      <w:hyperlink r:id="rId11">
        <w:r w:rsidRPr="00EF577A">
          <w:rPr>
            <w:color w:val="0E568C"/>
            <w:szCs w:val="22"/>
          </w:rPr>
          <w:t>271 P. 673,</w:t>
        </w:r>
      </w:hyperlink>
      <w:r w:rsidRPr="00EF577A">
        <w:rPr>
          <w:color w:val="000000"/>
          <w:szCs w:val="22"/>
        </w:rPr>
        <w:t xml:space="preserve"> </w:t>
      </w:r>
      <w:hyperlink r:id="rId12">
        <w:r w:rsidRPr="00EF577A">
          <w:rPr>
            <w:color w:val="0E568C"/>
            <w:szCs w:val="22"/>
          </w:rPr>
          <w:t>37 A.L.R. 754;</w:t>
        </w:r>
      </w:hyperlink>
      <w:r w:rsidRPr="00EF577A">
        <w:rPr>
          <w:color w:val="000000"/>
          <w:szCs w:val="22"/>
        </w:rPr>
        <w:t xml:space="preserve"> </w:t>
      </w:r>
      <w:hyperlink r:id="rId13">
        <w:r w:rsidRPr="00EF577A">
          <w:rPr>
            <w:color w:val="0E568C"/>
            <w:szCs w:val="22"/>
          </w:rPr>
          <w:t>Broderick v. Torkomian, 107 Conn. 99, 139 A. 506.</w:t>
        </w:r>
      </w:hyperlink>
      <w:r w:rsidRPr="00EF577A">
        <w:rPr>
          <w:color w:val="000000"/>
          <w:szCs w:val="22"/>
        </w:rPr>
        <w:t xml:space="preserve"> The parties to a bailment may, however, contract to diminish the bailee's common law obligation with respect to the subject of the bailment provided the contract is not in violation of law or of public policy. </w:t>
      </w:r>
      <w:hyperlink r:id="rId14" w:anchor="co_pp_sp_708_245">
        <w:r w:rsidRPr="00EF577A">
          <w:rPr>
            <w:color w:val="0E568C"/>
            <w:szCs w:val="22"/>
          </w:rPr>
          <w:t xml:space="preserve">Sun Printing &amp; Publishing </w:t>
        </w:r>
        <w:proofErr w:type="spellStart"/>
        <w:r w:rsidRPr="00EF577A">
          <w:rPr>
            <w:color w:val="0E568C"/>
            <w:szCs w:val="22"/>
          </w:rPr>
          <w:t>Ass'n</w:t>
        </w:r>
        <w:proofErr w:type="spellEnd"/>
        <w:r w:rsidRPr="00EF577A">
          <w:rPr>
            <w:color w:val="0E568C"/>
            <w:szCs w:val="22"/>
          </w:rPr>
          <w:t xml:space="preserve"> v. Moore, 183 U.S. 642, 654, 22 </w:t>
        </w:r>
        <w:proofErr w:type="spellStart"/>
        <w:r w:rsidRPr="00EF577A">
          <w:rPr>
            <w:color w:val="0E568C"/>
            <w:szCs w:val="22"/>
          </w:rPr>
          <w:t>S.Ct</w:t>
        </w:r>
        <w:proofErr w:type="spellEnd"/>
        <w:r w:rsidRPr="00EF577A">
          <w:rPr>
            <w:color w:val="0E568C"/>
            <w:szCs w:val="22"/>
          </w:rPr>
          <w:t xml:space="preserve">. 240, 245, 46 </w:t>
        </w:r>
        <w:proofErr w:type="spellStart"/>
        <w:r w:rsidRPr="00EF577A">
          <w:rPr>
            <w:color w:val="0E568C"/>
            <w:szCs w:val="22"/>
          </w:rPr>
          <w:t>L.Ed</w:t>
        </w:r>
        <w:proofErr w:type="spellEnd"/>
        <w:r w:rsidRPr="00EF577A">
          <w:rPr>
            <w:color w:val="0E568C"/>
            <w:szCs w:val="22"/>
          </w:rPr>
          <w:t>. 366;</w:t>
        </w:r>
      </w:hyperlink>
      <w:r w:rsidRPr="00EF577A">
        <w:rPr>
          <w:color w:val="000000"/>
          <w:szCs w:val="22"/>
        </w:rPr>
        <w:t xml:space="preserve"> </w:t>
      </w:r>
      <w:hyperlink r:id="rId15">
        <w:r w:rsidRPr="00EF577A">
          <w:rPr>
            <w:color w:val="0E568C"/>
            <w:szCs w:val="22"/>
          </w:rPr>
          <w:t xml:space="preserve">Sagendorph v. First National Bank of Philmont, 218 </w:t>
        </w:r>
        <w:proofErr w:type="spellStart"/>
        <w:r w:rsidRPr="00EF577A">
          <w:rPr>
            <w:color w:val="0E568C"/>
            <w:szCs w:val="22"/>
          </w:rPr>
          <w:t>App.Div</w:t>
        </w:r>
        <w:proofErr w:type="spellEnd"/>
        <w:r w:rsidRPr="00EF577A">
          <w:rPr>
            <w:color w:val="0E568C"/>
            <w:szCs w:val="22"/>
          </w:rPr>
          <w:t>. 285, 218 N.Y.S. 191;</w:t>
        </w:r>
      </w:hyperlink>
      <w:r w:rsidRPr="00EF577A">
        <w:rPr>
          <w:color w:val="000000"/>
          <w:szCs w:val="22"/>
        </w:rPr>
        <w:t xml:space="preserve"> </w:t>
      </w:r>
      <w:hyperlink r:id="rId16" w:anchor="co_pp_sp_601_90">
        <w:r w:rsidRPr="00EF577A">
          <w:rPr>
            <w:color w:val="0E568C"/>
            <w:szCs w:val="22"/>
          </w:rPr>
          <w:t>Fulton Lighterage Co. v. New York Central R. R. Co., 136 Misc. 374, 375, 240 N.Y.S. 88, 90;</w:t>
        </w:r>
      </w:hyperlink>
      <w:r w:rsidRPr="00EF577A">
        <w:rPr>
          <w:color w:val="000000"/>
          <w:szCs w:val="22"/>
        </w:rPr>
        <w:t xml:space="preserve"> Williston on Contracts, </w:t>
      </w:r>
      <w:proofErr w:type="spellStart"/>
      <w:r w:rsidRPr="00EF577A">
        <w:rPr>
          <w:color w:val="000000"/>
          <w:szCs w:val="22"/>
        </w:rPr>
        <w:t>Rev.Ed</w:t>
      </w:r>
      <w:proofErr w:type="spellEnd"/>
      <w:r w:rsidRPr="00EF577A">
        <w:rPr>
          <w:color w:val="000000"/>
          <w:szCs w:val="22"/>
        </w:rPr>
        <w:t>., Vol. VI, § 1751C, p. 4972. The law in this State is well grounded that to bind the bailor to a contract limiting the bailee's liability, it must be established that there is a special contract to that effect; that the bailor has had reasonable notice of the terms and that he has assented to them</w:t>
      </w:r>
      <w:r w:rsidR="005355A6">
        <w:rPr>
          <w:color w:val="000000"/>
          <w:szCs w:val="22"/>
        </w:rPr>
        <w:t xml:space="preserve"> .  . .</w:t>
      </w:r>
    </w:p>
    <w:p w14:paraId="405C143E" w14:textId="77777777" w:rsidR="001A3E94" w:rsidRPr="00EF577A" w:rsidRDefault="001A3E94" w:rsidP="001A3E94">
      <w:pPr>
        <w:spacing w:line="275" w:lineRule="atLeast"/>
        <w:jc w:val="both"/>
        <w:rPr>
          <w:szCs w:val="22"/>
        </w:rPr>
      </w:pPr>
      <w:r w:rsidRPr="00EF577A">
        <w:rPr>
          <w:color w:val="000000"/>
          <w:szCs w:val="22"/>
        </w:rPr>
        <w:t> </w:t>
      </w:r>
    </w:p>
    <w:p w14:paraId="278165F7" w14:textId="77777777" w:rsidR="001A3E94" w:rsidRPr="00EF577A" w:rsidRDefault="001A3E94" w:rsidP="001A3E94">
      <w:pPr>
        <w:spacing w:line="275" w:lineRule="atLeast"/>
        <w:jc w:val="both"/>
        <w:rPr>
          <w:szCs w:val="22"/>
        </w:rPr>
      </w:pPr>
      <w:bookmarkStart w:id="16" w:name="co_anchor_B51946100817_1"/>
      <w:bookmarkStart w:id="17" w:name="co_anchor_B61946100817_1"/>
      <w:bookmarkStart w:id="18" w:name="co_anchor_B71946100817_1"/>
      <w:bookmarkEnd w:id="16"/>
      <w:bookmarkEnd w:id="17"/>
      <w:bookmarkEnd w:id="18"/>
      <w:r w:rsidRPr="00EF577A">
        <w:rPr>
          <w:color w:val="000000"/>
          <w:szCs w:val="22"/>
        </w:rPr>
        <w:t xml:space="preserve">Concededly, defendant here was guilty of ordinary negligence. Indeed, in a somewhat similar case, failure to deliver to the rightful owner because of mistake in delivering to another </w:t>
      </w:r>
      <w:r w:rsidRPr="00EF577A">
        <w:rPr>
          <w:color w:val="000000"/>
          <w:szCs w:val="22"/>
        </w:rPr>
        <w:lastRenderedPageBreak/>
        <w:t xml:space="preserve">has been characterized as gross negligence. </w:t>
      </w:r>
      <w:hyperlink r:id="rId17" w:anchor="co_pp_sp_577_270">
        <w:r w:rsidRPr="00EF577A">
          <w:rPr>
            <w:color w:val="0E568C"/>
            <w:szCs w:val="22"/>
          </w:rPr>
          <w:t>Dalton v. Hamilton Hotel Operating Co., Inc., 242 N.Y. 481, 489, 152 N.E. 268, 270.</w:t>
        </w:r>
      </w:hyperlink>
      <w:r w:rsidRPr="00EF577A">
        <w:rPr>
          <w:color w:val="000000"/>
          <w:szCs w:val="22"/>
        </w:rPr>
        <w:t xml:space="preserve"> To relieve itself from liability for full damages, defendant under the law was obliged to show that there was a contract between the parties upon the special terms contained in the receipt. </w:t>
      </w:r>
      <w:hyperlink r:id="rId18" w:anchor="co_pp_sp_596_333">
        <w:r w:rsidRPr="00EF577A">
          <w:rPr>
            <w:color w:val="0E568C"/>
            <w:szCs w:val="22"/>
          </w:rPr>
          <w:t xml:space="preserve">Madan v. Sherard, supra, 73 N.Y. at page 333, 29 </w:t>
        </w:r>
        <w:proofErr w:type="spellStart"/>
        <w:r w:rsidRPr="00EF577A">
          <w:rPr>
            <w:color w:val="0E568C"/>
            <w:szCs w:val="22"/>
          </w:rPr>
          <w:t>Am.Rep</w:t>
        </w:r>
        <w:proofErr w:type="spellEnd"/>
        <w:r w:rsidRPr="00EF577A">
          <w:rPr>
            <w:color w:val="0E568C"/>
            <w:szCs w:val="22"/>
          </w:rPr>
          <w:t>. 153.</w:t>
        </w:r>
      </w:hyperlink>
      <w:r w:rsidRPr="00EF577A">
        <w:rPr>
          <w:color w:val="000000"/>
          <w:szCs w:val="22"/>
        </w:rPr>
        <w:t xml:space="preserve"> There is no proof in this record that there were conspicuous signs or large placards about the parcel roof calling attention to the limitation of liability, nor is there evidence that plaintiffs had any other form of notice which embraced the terms of a special contract or that there was any opportunity afforded to plaintiffs to assent to or dissent from the alleged contract. In the absence of any of these items of proof, it cannot be said that a mere acceptance of the parcel check by the bailor with the printed matter thereon, as a matter of law, sufficiently brought to plaintiffs' attention the limitation of liability. As the Court of Appeals stated in </w:t>
      </w:r>
      <w:hyperlink r:id="rId19" w:anchor="co_pp_sp_596_334">
        <w:r w:rsidRPr="00EF577A">
          <w:rPr>
            <w:color w:val="0E568C"/>
            <w:szCs w:val="22"/>
          </w:rPr>
          <w:t xml:space="preserve">Madan v. Sherard, supra, 73 N.Y. at page 334, 29 </w:t>
        </w:r>
        <w:proofErr w:type="spellStart"/>
        <w:r w:rsidRPr="00EF577A">
          <w:rPr>
            <w:color w:val="0E568C"/>
            <w:szCs w:val="22"/>
          </w:rPr>
          <w:t>Am.Rep</w:t>
        </w:r>
        <w:proofErr w:type="spellEnd"/>
        <w:r w:rsidRPr="00EF577A">
          <w:rPr>
            <w:color w:val="0E568C"/>
            <w:szCs w:val="22"/>
          </w:rPr>
          <w:t>. 153</w:t>
        </w:r>
      </w:hyperlink>
      <w:r w:rsidRPr="00EF577A">
        <w:rPr>
          <w:color w:val="000000"/>
          <w:szCs w:val="22"/>
        </w:rPr>
        <w:t>:</w:t>
      </w:r>
    </w:p>
    <w:p w14:paraId="2A318D99" w14:textId="77777777" w:rsidR="001A3E94" w:rsidRPr="00EF577A" w:rsidRDefault="001A3E94" w:rsidP="001A3E94">
      <w:pPr>
        <w:spacing w:line="275" w:lineRule="atLeast"/>
        <w:jc w:val="both"/>
        <w:rPr>
          <w:szCs w:val="22"/>
        </w:rPr>
      </w:pPr>
      <w:r w:rsidRPr="00EF577A">
        <w:rPr>
          <w:color w:val="000000"/>
          <w:szCs w:val="22"/>
        </w:rPr>
        <w:t> </w:t>
      </w:r>
    </w:p>
    <w:p w14:paraId="4A11EA64" w14:textId="77777777" w:rsidR="001A3E94" w:rsidRPr="00EF577A" w:rsidRDefault="001A3E94" w:rsidP="001A3E94">
      <w:pPr>
        <w:spacing w:before="200" w:line="275" w:lineRule="atLeast"/>
        <w:jc w:val="both"/>
        <w:rPr>
          <w:color w:val="000000"/>
          <w:szCs w:val="22"/>
        </w:rPr>
      </w:pPr>
      <w:r w:rsidRPr="00EF577A">
        <w:rPr>
          <w:color w:val="000000"/>
          <w:szCs w:val="22"/>
        </w:rPr>
        <w:t>‘* * * The plaintiff, on receiving the paper, had, from the nature and circumstances of the transaction, a right to regard it as designed simply as a voucher to enable him to follow and identify his property; and if he had no notice that it was intended to subserve any other purpose, or that it embodied the terms of a special contract, his omission to read it was not per se negligence.’</w:t>
      </w:r>
    </w:p>
    <w:p w14:paraId="2C59E6EE" w14:textId="77777777" w:rsidR="001A3E94" w:rsidRPr="00EF577A" w:rsidRDefault="001A3E94" w:rsidP="001A3E94">
      <w:pPr>
        <w:spacing w:before="200" w:line="275" w:lineRule="atLeast"/>
        <w:jc w:val="both"/>
        <w:rPr>
          <w:szCs w:val="22"/>
        </w:rPr>
      </w:pPr>
    </w:p>
    <w:p w14:paraId="783B8218" w14:textId="3BFE9A5F" w:rsidR="001A3E94" w:rsidRPr="00EF577A" w:rsidRDefault="001A3E94" w:rsidP="001A3E94">
      <w:pPr>
        <w:spacing w:line="275" w:lineRule="atLeast"/>
        <w:jc w:val="both"/>
        <w:rPr>
          <w:szCs w:val="22"/>
        </w:rPr>
      </w:pPr>
      <w:bookmarkStart w:id="19" w:name="co_anchor_B81946100817_1"/>
      <w:bookmarkEnd w:id="19"/>
      <w:r w:rsidRPr="00EF577A">
        <w:rPr>
          <w:color w:val="000000"/>
          <w:szCs w:val="22"/>
        </w:rPr>
        <w:t xml:space="preserve"> In the leading case of </w:t>
      </w:r>
      <w:hyperlink r:id="rId20" w:anchor="co_pp_sp_601_289">
        <w:r w:rsidRPr="00EF577A">
          <w:rPr>
            <w:color w:val="0E568C"/>
            <w:szCs w:val="22"/>
          </w:rPr>
          <w:t xml:space="preserve">Healy v. New York C. &amp; H. R. Co., 153 </w:t>
        </w:r>
        <w:proofErr w:type="spellStart"/>
        <w:r w:rsidRPr="00EF577A">
          <w:rPr>
            <w:color w:val="0E568C"/>
            <w:szCs w:val="22"/>
          </w:rPr>
          <w:t>App.Div</w:t>
        </w:r>
        <w:proofErr w:type="spellEnd"/>
        <w:r w:rsidRPr="00EF577A">
          <w:rPr>
            <w:color w:val="0E568C"/>
            <w:szCs w:val="22"/>
          </w:rPr>
          <w:t>. 516, 519, 138 N.Y.S. 287, 289;</w:t>
        </w:r>
      </w:hyperlink>
      <w:r w:rsidRPr="00EF577A">
        <w:rPr>
          <w:color w:val="000000"/>
          <w:szCs w:val="22"/>
        </w:rPr>
        <w:t xml:space="preserve"> </w:t>
      </w:r>
      <w:hyperlink r:id="rId21">
        <w:r w:rsidRPr="00EF577A">
          <w:rPr>
            <w:color w:val="0E568C"/>
            <w:szCs w:val="22"/>
          </w:rPr>
          <w:t>Id., 210 N.Y. 646, 105 N.E. 1086,</w:t>
        </w:r>
      </w:hyperlink>
      <w:r w:rsidRPr="00EF577A">
        <w:rPr>
          <w:color w:val="000000"/>
          <w:szCs w:val="22"/>
        </w:rPr>
        <w:t xml:space="preserve"> supra, the Court in holding that one checking a valise was not chargeable with the knowledge that the parcel check contained a limitation of liability for loss, in an opinion by Lyon, J., used the following apposite language:</w:t>
      </w:r>
    </w:p>
    <w:p w14:paraId="384CD292" w14:textId="4BA39744" w:rsidR="001A3E94" w:rsidRPr="00EF577A" w:rsidRDefault="001A3E94" w:rsidP="0030397E">
      <w:pPr>
        <w:spacing w:before="200" w:line="275" w:lineRule="atLeast"/>
        <w:ind w:left="720"/>
        <w:jc w:val="both"/>
        <w:rPr>
          <w:szCs w:val="22"/>
        </w:rPr>
      </w:pPr>
      <w:r w:rsidRPr="00EF577A">
        <w:rPr>
          <w:color w:val="000000"/>
          <w:szCs w:val="22"/>
        </w:rPr>
        <w:t xml:space="preserve">The coupon was presumptively intended as between the parties to serve the special purpose of affording a means of identifying the parcel left by the bailor. In the mind of the bailor the little piece of cardboard, which was undoubtedly hurriedly handed to him, and which he doubtless as hurriedly slipped into his pocket, without any reasonable opportunity to read it, and hastened away without any suggestion having been made upon the part of the parcel room clerk as to the statements in fine print thereon, did not arise to the dignity of a contract by which he agreed that in the event of the loss of the parcel, even </w:t>
      </w:r>
      <w:proofErr w:type="spellStart"/>
      <w:r w:rsidRPr="00EF577A">
        <w:rPr>
          <w:color w:val="000000"/>
          <w:szCs w:val="22"/>
        </w:rPr>
        <w:t>through</w:t>
      </w:r>
      <w:proofErr w:type="spellEnd"/>
      <w:r w:rsidRPr="00EF577A">
        <w:rPr>
          <w:color w:val="000000"/>
          <w:szCs w:val="22"/>
        </w:rPr>
        <w:t xml:space="preserve"> the negligence of the bailee itself, he would accept therefor a sum which, perhaps, would be but a small fraction of its actual value.</w:t>
      </w:r>
      <w:r w:rsidR="0030397E">
        <w:rPr>
          <w:szCs w:val="22"/>
        </w:rPr>
        <w:t xml:space="preserve"> </w:t>
      </w:r>
      <w:r w:rsidRPr="00EF577A">
        <w:rPr>
          <w:color w:val="000000"/>
          <w:szCs w:val="22"/>
        </w:rPr>
        <w:t>The plaintiff having had no knowledge of the existence of the special contract limiting the liability of the defendant to an amount not exceeding $10, and not being chargeable with such knowledge, the minds of the parties never met thereon, and the plaintiff cannot be deemed to have assented thereto, and is not bound thereby.</w:t>
      </w:r>
    </w:p>
    <w:p w14:paraId="76370540" w14:textId="77777777" w:rsidR="001A3E94" w:rsidRPr="00EF577A" w:rsidRDefault="001A3E94" w:rsidP="001A3E94">
      <w:pPr>
        <w:spacing w:before="200" w:line="275" w:lineRule="atLeast"/>
        <w:jc w:val="both"/>
        <w:rPr>
          <w:color w:val="000000"/>
          <w:szCs w:val="22"/>
        </w:rPr>
      </w:pPr>
      <w:r w:rsidRPr="00EF577A">
        <w:rPr>
          <w:color w:val="000000"/>
          <w:szCs w:val="22"/>
        </w:rPr>
        <w:t>The provision for limiting liability in the Healy case, supra, was set forth on the reverse side of the receipt, whereas in the case at bar the limitation was finely printed on the face of the parcel check. Nonetheless we think that the rule enunciated in the Healy case is applicable to the facts here.</w:t>
      </w:r>
    </w:p>
    <w:p w14:paraId="37D15CC4" w14:textId="77777777" w:rsidR="001A3E94" w:rsidRPr="00EF577A" w:rsidRDefault="001A3E94" w:rsidP="001A3E94">
      <w:pPr>
        <w:spacing w:before="200" w:line="275" w:lineRule="atLeast"/>
        <w:jc w:val="both"/>
        <w:rPr>
          <w:color w:val="000000"/>
          <w:szCs w:val="22"/>
        </w:rPr>
      </w:pPr>
    </w:p>
    <w:p w14:paraId="75E0900F" w14:textId="77777777" w:rsidR="001A3E94" w:rsidRPr="00EF577A" w:rsidRDefault="001A3E94" w:rsidP="001A3E94">
      <w:pPr>
        <w:spacing w:line="275" w:lineRule="atLeast"/>
        <w:jc w:val="both"/>
        <w:rPr>
          <w:szCs w:val="22"/>
        </w:rPr>
      </w:pPr>
      <w:bookmarkStart w:id="20" w:name="co_anchor_B91946100817_1"/>
      <w:bookmarkEnd w:id="20"/>
      <w:r w:rsidRPr="00EF577A">
        <w:rPr>
          <w:color w:val="000000"/>
          <w:szCs w:val="22"/>
        </w:rPr>
        <w:lastRenderedPageBreak/>
        <w:t>Defendant is in no position to claim that the receipt constituted the contract of bailment between the parties as it failed to show that plaintiffs' attention was called to the terms of the special agreement or that plaintiffs knew or were presumed to know about it. While the defendant bailee should be protected in its legal right to limit its responsibility, the public should also be safeguarded against imposition. If the bailee wishes to limit its liability for negligence, it must at least show that it has given adequate notice of the special contract and that it has received the assent thereto of those with whom it transacts business.</w:t>
      </w:r>
    </w:p>
    <w:p w14:paraId="43038CE1" w14:textId="77777777" w:rsidR="001A3E94" w:rsidRPr="00EF577A" w:rsidRDefault="001A3E94" w:rsidP="001A3E94">
      <w:pPr>
        <w:spacing w:line="275" w:lineRule="atLeast"/>
        <w:jc w:val="both"/>
        <w:rPr>
          <w:szCs w:val="22"/>
        </w:rPr>
      </w:pPr>
      <w:r w:rsidRPr="00EF577A">
        <w:rPr>
          <w:color w:val="000000"/>
          <w:szCs w:val="22"/>
        </w:rPr>
        <w:t> </w:t>
      </w:r>
    </w:p>
    <w:p w14:paraId="152013C9" w14:textId="2F9118FF" w:rsidR="001A3E94" w:rsidRPr="00EF577A" w:rsidRDefault="001A3E94" w:rsidP="001A3E94">
      <w:pPr>
        <w:spacing w:line="275" w:lineRule="atLeast"/>
        <w:jc w:val="both"/>
        <w:rPr>
          <w:szCs w:val="22"/>
        </w:rPr>
      </w:pPr>
      <w:bookmarkStart w:id="21" w:name="co_anchor_B101946100817_1"/>
      <w:bookmarkEnd w:id="21"/>
      <w:r w:rsidRPr="00EF577A">
        <w:rPr>
          <w:color w:val="000000"/>
          <w:szCs w:val="22"/>
        </w:rPr>
        <w:t xml:space="preserve">Upon the evidence in this case we hold that it was a question of fact for the trial judge to decide whether acceptance by the bailor of the receipt for the package in the circumstances disclosed constituted a contract between the parties for the limitation of liability. </w:t>
      </w:r>
      <w:hyperlink r:id="rId22" w:anchor="co_pp_sp_596_334">
        <w:r w:rsidRPr="00EF577A">
          <w:rPr>
            <w:color w:val="0E568C"/>
            <w:szCs w:val="22"/>
          </w:rPr>
          <w:t xml:space="preserve">Madan v. Sherard, supra, 73 N.Y. at page 334, 29 </w:t>
        </w:r>
        <w:proofErr w:type="spellStart"/>
        <w:r w:rsidRPr="00EF577A">
          <w:rPr>
            <w:color w:val="0E568C"/>
            <w:szCs w:val="22"/>
          </w:rPr>
          <w:t>Am.Rep</w:t>
        </w:r>
        <w:proofErr w:type="spellEnd"/>
        <w:r w:rsidRPr="00EF577A">
          <w:rPr>
            <w:color w:val="0E568C"/>
            <w:szCs w:val="22"/>
          </w:rPr>
          <w:t>. 153;</w:t>
        </w:r>
      </w:hyperlink>
      <w:r w:rsidRPr="00EF577A">
        <w:rPr>
          <w:color w:val="000000"/>
          <w:szCs w:val="22"/>
        </w:rPr>
        <w:t xml:space="preserve"> </w:t>
      </w:r>
      <w:hyperlink r:id="rId23" w:anchor="co_pp_sp_577_354">
        <w:r w:rsidRPr="00EF577A">
          <w:rPr>
            <w:color w:val="0E568C"/>
            <w:szCs w:val="22"/>
          </w:rPr>
          <w:t>Morgan v. Woolverton, supra, 203 N.Y. at p. 53, 96 N.E. at page 354.</w:t>
        </w:r>
      </w:hyperlink>
      <w:r w:rsidRPr="00EF577A">
        <w:rPr>
          <w:color w:val="000000"/>
          <w:szCs w:val="22"/>
        </w:rPr>
        <w:t xml:space="preserve"> The trial court's determination that there was no such agreement finds ample support in the evidence and in our view it was error for the Appellate Term to hold that there was such a contract. </w:t>
      </w:r>
    </w:p>
    <w:p w14:paraId="0AA3BE4B" w14:textId="77777777" w:rsidR="001A3E94" w:rsidRPr="00EF577A" w:rsidRDefault="001A3E94" w:rsidP="001A3E94">
      <w:pPr>
        <w:spacing w:before="200" w:line="275" w:lineRule="atLeast"/>
        <w:jc w:val="both"/>
        <w:rPr>
          <w:szCs w:val="22"/>
        </w:rPr>
      </w:pPr>
      <w:r w:rsidRPr="00EF577A">
        <w:rPr>
          <w:color w:val="000000"/>
          <w:szCs w:val="22"/>
        </w:rPr>
        <w:t xml:space="preserve">The determination of the Appellate Term should be reversed and the judgment of the Municipal Court in favor of plaintiffs in the sum of $939.50 affirmed, with costs to plaintiffs in this court and in the </w:t>
      </w:r>
      <w:proofErr w:type="spellStart"/>
      <w:r w:rsidRPr="00EF577A">
        <w:rPr>
          <w:color w:val="000000"/>
          <w:szCs w:val="22"/>
        </w:rPr>
        <w:t>Appeallate</w:t>
      </w:r>
      <w:proofErr w:type="spellEnd"/>
      <w:r w:rsidRPr="00EF577A">
        <w:rPr>
          <w:color w:val="000000"/>
          <w:szCs w:val="22"/>
        </w:rPr>
        <w:t xml:space="preserve"> Term.</w:t>
      </w:r>
    </w:p>
    <w:p w14:paraId="46C80688" w14:textId="77777777" w:rsidR="001A3E94" w:rsidRPr="00EF577A" w:rsidRDefault="001A3E94" w:rsidP="001A3E94">
      <w:pPr>
        <w:spacing w:before="200" w:line="275" w:lineRule="atLeast"/>
        <w:jc w:val="both"/>
        <w:rPr>
          <w:szCs w:val="22"/>
        </w:rPr>
      </w:pPr>
      <w:r w:rsidRPr="00EF577A">
        <w:rPr>
          <w:color w:val="000000"/>
          <w:szCs w:val="22"/>
        </w:rPr>
        <w:t>Determination of the Appellate Term reversed and the judgment of the Municipal Court in favor of the plaintiffs in the sum of $939.50 affirmed with costs to the plaintiffs in this court and in the Appellate Term. Settle order on notice.</w:t>
      </w:r>
    </w:p>
    <w:p w14:paraId="02AF6D98" w14:textId="77777777" w:rsidR="001A3E94" w:rsidRPr="00EF577A" w:rsidRDefault="001A3E94" w:rsidP="001A3E94">
      <w:pPr>
        <w:spacing w:before="600" w:line="275" w:lineRule="atLeast"/>
        <w:jc w:val="both"/>
        <w:rPr>
          <w:szCs w:val="22"/>
        </w:rPr>
      </w:pPr>
      <w:r w:rsidRPr="00EF577A">
        <w:rPr>
          <w:color w:val="000000"/>
          <w:szCs w:val="22"/>
        </w:rPr>
        <w:t>TOWNLEY and GLENNON, JJ., concur.</w:t>
      </w:r>
    </w:p>
    <w:p w14:paraId="1F0C200F" w14:textId="77777777" w:rsidR="001A3E94" w:rsidRPr="00EF577A" w:rsidRDefault="001A3E94" w:rsidP="001A3E94">
      <w:pPr>
        <w:spacing w:before="200" w:line="275" w:lineRule="atLeast"/>
        <w:jc w:val="both"/>
        <w:rPr>
          <w:szCs w:val="22"/>
        </w:rPr>
      </w:pPr>
      <w:r w:rsidRPr="00EF577A">
        <w:rPr>
          <w:color w:val="000000"/>
          <w:szCs w:val="22"/>
        </w:rPr>
        <w:t>MARTIN, P. J., and DORE, J., dissent.</w:t>
      </w:r>
    </w:p>
    <w:p w14:paraId="2F36B000" w14:textId="77777777" w:rsidR="001A3E94" w:rsidRPr="00EF577A" w:rsidRDefault="001A3E94" w:rsidP="001A3E94">
      <w:pPr>
        <w:spacing w:before="400" w:line="275" w:lineRule="atLeast"/>
        <w:rPr>
          <w:szCs w:val="22"/>
        </w:rPr>
      </w:pPr>
      <w:bookmarkStart w:id="22" w:name="co_anchor_Id26aa8cba65f11eabea3f0dc9fb6"/>
      <w:bookmarkStart w:id="23" w:name="co_dissent_opinion_1"/>
      <w:r w:rsidRPr="00EF577A">
        <w:rPr>
          <w:color w:val="000000"/>
          <w:szCs w:val="22"/>
        </w:rPr>
        <w:t>DORE, Justice (dissenting).</w:t>
      </w:r>
    </w:p>
    <w:p w14:paraId="600AC498" w14:textId="77777777" w:rsidR="001A3E94" w:rsidRPr="00EF577A" w:rsidRDefault="001A3E94" w:rsidP="001A3E94">
      <w:pPr>
        <w:spacing w:before="200" w:line="275" w:lineRule="atLeast"/>
        <w:jc w:val="both"/>
        <w:rPr>
          <w:color w:val="000000"/>
          <w:szCs w:val="22"/>
        </w:rPr>
      </w:pPr>
      <w:bookmarkStart w:id="24" w:name="co_anchor_Id26aa8cba65f11eabea3f0dc92"/>
      <w:bookmarkEnd w:id="22"/>
      <w:bookmarkEnd w:id="23"/>
      <w:r w:rsidRPr="00EF577A">
        <w:rPr>
          <w:color w:val="000000"/>
          <w:szCs w:val="22"/>
        </w:rPr>
        <w:t>The issue is whether the Appellate Term correctly determined that defendant's liability as bailee was limited to $25 by the contract between the parties.</w:t>
      </w:r>
    </w:p>
    <w:p w14:paraId="1824D7D5" w14:textId="77777777" w:rsidR="001A3E94" w:rsidRPr="00EF577A" w:rsidRDefault="001A3E94" w:rsidP="001A3E94">
      <w:pPr>
        <w:spacing w:before="200" w:line="275" w:lineRule="atLeast"/>
        <w:jc w:val="both"/>
        <w:rPr>
          <w:szCs w:val="22"/>
        </w:rPr>
      </w:pPr>
      <w:r w:rsidRPr="00EF577A">
        <w:rPr>
          <w:color w:val="000000"/>
          <w:szCs w:val="22"/>
        </w:rPr>
        <w:t>***</w:t>
      </w:r>
    </w:p>
    <w:bookmarkEnd w:id="24"/>
    <w:p w14:paraId="5878CD56" w14:textId="77777777" w:rsidR="001A3E94" w:rsidRPr="00EF577A" w:rsidRDefault="001A3E94" w:rsidP="001A3E94">
      <w:pPr>
        <w:spacing w:before="200" w:line="275" w:lineRule="atLeast"/>
        <w:jc w:val="both"/>
        <w:rPr>
          <w:szCs w:val="22"/>
        </w:rPr>
      </w:pPr>
      <w:r w:rsidRPr="00EF577A">
        <w:rPr>
          <w:color w:val="000000"/>
          <w:szCs w:val="22"/>
        </w:rPr>
        <w:t>Defendant did not attempt to exempt itself by contract from all liability for negligence, but only to limit its liability to a sum certain. No issue of the bailee's affirmative misfeasance, theft or similar wrongdoing is presented. But plaintiffs contend that delivery of the package to the wrong person was gross negligence and the limitation of liability was not binding on plaintiffs and is void.</w:t>
      </w:r>
    </w:p>
    <w:p w14:paraId="2D6A369B" w14:textId="77777777" w:rsidR="001A3E94" w:rsidRPr="00EF577A" w:rsidRDefault="001A3E94" w:rsidP="001A3E94">
      <w:pPr>
        <w:spacing w:before="200" w:line="275" w:lineRule="atLeast"/>
        <w:jc w:val="both"/>
        <w:rPr>
          <w:szCs w:val="22"/>
        </w:rPr>
      </w:pPr>
      <w:r w:rsidRPr="00EF577A">
        <w:rPr>
          <w:color w:val="000000"/>
          <w:szCs w:val="22"/>
        </w:rPr>
        <w:t xml:space="preserve">On all the facts and circumstances disclosed in this record, we think the Appellate Term correctly determined that defendant's liability was limited to $25 and that such limitation was sufficiently brought to plaintiffs' attention to constitute a contract. Cases dealing with carrier's and innkeeper's liability and not the type of business conducted by defendant are not here controlling. The parcel check that Ellis received had conspicuously printed the word </w:t>
      </w:r>
      <w:r w:rsidRPr="00EF577A">
        <w:rPr>
          <w:color w:val="000000"/>
          <w:szCs w:val="22"/>
        </w:rPr>
        <w:lastRenderedPageBreak/>
        <w:t>‘Contract’ on the face thereof near the top in bold face type, clearly legible in red ink. The word ‘Contract’ in black ink was repeated twice in the express limitation of liability to $25 printed immediately below on the face of the card. The whole form was exceptionally brief. The transaction occurred at 8 a. m. Plaintiffs and their representative had ample opportunity to read the notice on the check stub thus clearly labelled ‘Contract’ and limiting liability to $25 upon ‘any piece.’ The package, alleged to contain valuable furs, was tied up with a piece of cord in a brown paper parcel. The charge for checking was the trivial sum of ten cents. The terms expressly provided that in consideration of the low rate of charge, the damages were accordingly limited.</w:t>
      </w:r>
    </w:p>
    <w:p w14:paraId="5EBDB465" w14:textId="77777777" w:rsidR="001A3E94" w:rsidRPr="00EF577A" w:rsidRDefault="001A3E94" w:rsidP="001A3E94">
      <w:pPr>
        <w:spacing w:before="200" w:line="275" w:lineRule="atLeast"/>
        <w:jc w:val="both"/>
        <w:rPr>
          <w:szCs w:val="22"/>
        </w:rPr>
      </w:pPr>
      <w:r w:rsidRPr="00EF577A">
        <w:rPr>
          <w:color w:val="000000"/>
          <w:szCs w:val="22"/>
        </w:rPr>
        <w:t>Under all these circumstances we think it not unreasonable to hold that one depositing a package temporarily for such consideration should reasonably expect there would be some limitation on the value that could be claimed for articles so deposited. If made liable without limitation in spite of terms so printed on the check, the owners of parcel check rooms and others in similar relations would be at the mercy of the unscrupulous, and might be called upon to answer for hundreds of thousands of dollars on any of the many small packages deposited for the low charge of ten cents. Under such rule, rates for checking service and other similar services to the public generally would in all likelihood be substantially increased.</w:t>
      </w:r>
    </w:p>
    <w:p w14:paraId="2EBE6999" w14:textId="77777777" w:rsidR="001A3E94" w:rsidRPr="00EF577A" w:rsidRDefault="001A3E94" w:rsidP="001A3E94">
      <w:pPr>
        <w:spacing w:before="200" w:line="275" w:lineRule="atLeast"/>
        <w:jc w:val="both"/>
        <w:rPr>
          <w:color w:val="000000"/>
          <w:szCs w:val="22"/>
        </w:rPr>
      </w:pPr>
      <w:r w:rsidRPr="00EF577A">
        <w:rPr>
          <w:color w:val="000000"/>
          <w:szCs w:val="22"/>
        </w:rPr>
        <w:t>***</w:t>
      </w:r>
    </w:p>
    <w:p w14:paraId="59E5E36E" w14:textId="77777777" w:rsidR="001A3E94" w:rsidRPr="00EF577A" w:rsidRDefault="001A3E94" w:rsidP="001A3E94">
      <w:pPr>
        <w:spacing w:before="200" w:line="275" w:lineRule="atLeast"/>
        <w:jc w:val="both"/>
        <w:rPr>
          <w:szCs w:val="22"/>
        </w:rPr>
      </w:pPr>
      <w:r w:rsidRPr="00EF577A">
        <w:rPr>
          <w:color w:val="000000"/>
          <w:szCs w:val="22"/>
        </w:rPr>
        <w:t xml:space="preserve">In </w:t>
      </w:r>
      <w:hyperlink r:id="rId24" w:anchor="co_pp_sp_433_421">
        <w:r w:rsidRPr="00EF577A">
          <w:rPr>
            <w:color w:val="0E568C"/>
            <w:szCs w:val="22"/>
          </w:rPr>
          <w:t xml:space="preserve">Noyes v. Hines, supra, the Court said, 220 </w:t>
        </w:r>
        <w:proofErr w:type="spellStart"/>
        <w:r w:rsidRPr="00EF577A">
          <w:rPr>
            <w:color w:val="0E568C"/>
            <w:szCs w:val="22"/>
          </w:rPr>
          <w:t>Ill.App</w:t>
        </w:r>
        <w:proofErr w:type="spellEnd"/>
        <w:r w:rsidRPr="00EF577A">
          <w:rPr>
            <w:color w:val="0E568C"/>
            <w:szCs w:val="22"/>
          </w:rPr>
          <w:t>. at page 421</w:t>
        </w:r>
      </w:hyperlink>
      <w:r w:rsidRPr="00EF577A">
        <w:rPr>
          <w:color w:val="000000"/>
          <w:szCs w:val="22"/>
        </w:rPr>
        <w:t>:</w:t>
      </w:r>
    </w:p>
    <w:p w14:paraId="6352CC6C" w14:textId="77777777" w:rsidR="001A3E94" w:rsidRPr="00EF577A" w:rsidRDefault="001A3E94" w:rsidP="001A3E94">
      <w:pPr>
        <w:spacing w:before="200" w:line="275" w:lineRule="atLeast"/>
        <w:jc w:val="both"/>
        <w:rPr>
          <w:szCs w:val="22"/>
        </w:rPr>
      </w:pPr>
      <w:r w:rsidRPr="00EF577A">
        <w:rPr>
          <w:color w:val="000000"/>
          <w:szCs w:val="22"/>
        </w:rPr>
        <w:t>‘We think the weight of authority is to the effect that when a person accepts a ticket from a bailee in receipt for a parcel deposited with him, he is bound by the terms and conditions of that receipt in so far as he has reasonable notice of the same, and in so far as the same are reasonable.</w:t>
      </w:r>
    </w:p>
    <w:p w14:paraId="7A7946CA" w14:textId="77777777" w:rsidR="001A3E94" w:rsidRPr="00EF577A" w:rsidRDefault="001A3E94" w:rsidP="001A3E94">
      <w:pPr>
        <w:spacing w:before="200" w:line="275" w:lineRule="atLeast"/>
        <w:jc w:val="both"/>
        <w:rPr>
          <w:szCs w:val="22"/>
        </w:rPr>
      </w:pPr>
      <w:r w:rsidRPr="00EF577A">
        <w:rPr>
          <w:color w:val="000000"/>
          <w:szCs w:val="22"/>
        </w:rPr>
        <w:t>‘In this case it does not seem to be unreasonable to hold that a person depositing luggage or similar articles temporarily, in the manner as shown by the evidence, and for a consideration of only 10 cents to be paid by him, would expect that there would be some limitation placed upon the value of the article so deposited. If this were not so then the defendant would have been bound if plaintiff had deposited with his suit case $100,000 worth of diamonds or other articles of similar great value. The condition, therefore, in itself, seems to have been a reasonable one. The notice as to the condition would also seem to have been reasonable. The defendant had a right to assume that the plaintiff could read the English language; had also a right to assume that the plaintiff would take notice that by reason of the very small charge he could not expect an unlimited liability.’</w:t>
      </w:r>
    </w:p>
    <w:p w14:paraId="199DA161" w14:textId="77777777" w:rsidR="001A3E94" w:rsidRPr="00EF577A" w:rsidRDefault="001A3E94" w:rsidP="001A3E94">
      <w:pPr>
        <w:spacing w:before="200" w:line="275" w:lineRule="atLeast"/>
        <w:jc w:val="both"/>
        <w:rPr>
          <w:color w:val="000000"/>
          <w:szCs w:val="22"/>
        </w:rPr>
      </w:pPr>
      <w:r w:rsidRPr="00EF577A">
        <w:rPr>
          <w:color w:val="000000"/>
          <w:szCs w:val="22"/>
        </w:rPr>
        <w:t>***</w:t>
      </w:r>
    </w:p>
    <w:p w14:paraId="4F44D297" w14:textId="77777777" w:rsidR="001A3E94" w:rsidRPr="00EF577A" w:rsidRDefault="001A3E94" w:rsidP="001A3E94">
      <w:pPr>
        <w:spacing w:before="200" w:line="275" w:lineRule="atLeast"/>
        <w:jc w:val="both"/>
        <w:rPr>
          <w:szCs w:val="22"/>
        </w:rPr>
      </w:pPr>
      <w:r w:rsidRPr="00EF577A">
        <w:rPr>
          <w:color w:val="000000"/>
          <w:szCs w:val="22"/>
        </w:rPr>
        <w:t xml:space="preserve">On all the facts here disclosed, the condition was reasonable, the notice adequate, and failure to read the paper is inexcusable. </w:t>
      </w:r>
      <w:hyperlink r:id="rId25">
        <w:proofErr w:type="spellStart"/>
        <w:r w:rsidRPr="00EF577A">
          <w:rPr>
            <w:color w:val="0E568C"/>
            <w:szCs w:val="22"/>
          </w:rPr>
          <w:t>Pimpinello</w:t>
        </w:r>
        <w:proofErr w:type="spellEnd"/>
        <w:r w:rsidRPr="00EF577A">
          <w:rPr>
            <w:color w:val="0E568C"/>
            <w:szCs w:val="22"/>
          </w:rPr>
          <w:t xml:space="preserve"> v. Swift &amp; Co., 253 N.Y. 159, 162, 170 N.E. 530</w:t>
        </w:r>
      </w:hyperlink>
      <w:r w:rsidRPr="00EF577A">
        <w:rPr>
          <w:color w:val="000000"/>
          <w:szCs w:val="22"/>
        </w:rPr>
        <w:t>.</w:t>
      </w:r>
    </w:p>
    <w:p w14:paraId="1E4FC838" w14:textId="77777777" w:rsidR="001A3E94" w:rsidRPr="00EF577A" w:rsidRDefault="001A3E94" w:rsidP="001A3E94">
      <w:pPr>
        <w:spacing w:before="600" w:line="275" w:lineRule="atLeast"/>
        <w:jc w:val="both"/>
        <w:rPr>
          <w:szCs w:val="22"/>
        </w:rPr>
      </w:pPr>
      <w:r w:rsidRPr="00EF577A">
        <w:rPr>
          <w:color w:val="000000"/>
          <w:szCs w:val="22"/>
        </w:rPr>
        <w:t>MARTIN, P. J., concurs.</w:t>
      </w:r>
    </w:p>
    <w:p w14:paraId="75C0CC41" w14:textId="77777777" w:rsidR="001A3E94" w:rsidRPr="00EF577A" w:rsidRDefault="001A3E94" w:rsidP="001A3E94">
      <w:pPr>
        <w:rPr>
          <w:szCs w:val="22"/>
        </w:rPr>
      </w:pPr>
    </w:p>
    <w:p w14:paraId="0068D77F" w14:textId="77777777" w:rsidR="001A3E94" w:rsidRPr="00EF577A" w:rsidRDefault="001A3E94" w:rsidP="001A3E94">
      <w:pPr>
        <w:rPr>
          <w:szCs w:val="22"/>
        </w:rPr>
      </w:pPr>
    </w:p>
    <w:p w14:paraId="3B729AC6" w14:textId="77777777" w:rsidR="00CA0CF8" w:rsidRPr="00EF577A" w:rsidRDefault="00CA0CF8" w:rsidP="00CA0CF8">
      <w:pPr>
        <w:rPr>
          <w:szCs w:val="22"/>
        </w:rPr>
      </w:pPr>
    </w:p>
    <w:p w14:paraId="36A875F9" w14:textId="05D4CC12" w:rsidR="00CA0CF8" w:rsidRPr="00EF577A" w:rsidRDefault="00CA0CF8" w:rsidP="00CA0CF8">
      <w:pPr>
        <w:autoSpaceDE w:val="0"/>
        <w:autoSpaceDN w:val="0"/>
        <w:adjustRightInd w:val="0"/>
        <w:ind w:right="1195"/>
        <w:jc w:val="center"/>
        <w:outlineLvl w:val="0"/>
        <w:rPr>
          <w:bCs/>
          <w:szCs w:val="22"/>
        </w:rPr>
      </w:pPr>
      <w:bookmarkStart w:id="25" w:name="_Toc28976512"/>
      <w:bookmarkStart w:id="26" w:name="_Toc57545203"/>
      <w:bookmarkStart w:id="27" w:name="_Toc186019884"/>
      <w:proofErr w:type="spellStart"/>
      <w:r w:rsidRPr="00EF577A">
        <w:rPr>
          <w:bCs/>
          <w:szCs w:val="22"/>
        </w:rPr>
        <w:t>ProCD</w:t>
      </w:r>
      <w:proofErr w:type="spellEnd"/>
      <w:r w:rsidRPr="00EF577A">
        <w:rPr>
          <w:bCs/>
          <w:szCs w:val="22"/>
        </w:rPr>
        <w:t xml:space="preserve"> v. </w:t>
      </w:r>
      <w:proofErr w:type="spellStart"/>
      <w:r w:rsidRPr="00EF577A">
        <w:rPr>
          <w:bCs/>
          <w:szCs w:val="22"/>
        </w:rPr>
        <w:t>Zeidenberg</w:t>
      </w:r>
      <w:bookmarkEnd w:id="25"/>
      <w:bookmarkEnd w:id="26"/>
      <w:bookmarkEnd w:id="27"/>
      <w:proofErr w:type="spellEnd"/>
    </w:p>
    <w:p w14:paraId="77C29557" w14:textId="77777777" w:rsidR="00CA0CF8" w:rsidRPr="00EF577A" w:rsidRDefault="00CA0CF8" w:rsidP="00CA0CF8">
      <w:pPr>
        <w:autoSpaceDE w:val="0"/>
        <w:autoSpaceDN w:val="0"/>
        <w:adjustRightInd w:val="0"/>
        <w:ind w:right="1200"/>
        <w:jc w:val="center"/>
        <w:rPr>
          <w:szCs w:val="22"/>
        </w:rPr>
      </w:pPr>
      <w:r w:rsidRPr="00EF577A">
        <w:rPr>
          <w:bCs/>
          <w:szCs w:val="22"/>
        </w:rPr>
        <w:t>United States Court Of Appeals For The Seventh Circuit</w:t>
      </w:r>
    </w:p>
    <w:p w14:paraId="7EE81A2C" w14:textId="77777777" w:rsidR="00CA0CF8" w:rsidRPr="00EF577A" w:rsidRDefault="00CA0CF8" w:rsidP="00CA0CF8">
      <w:pPr>
        <w:autoSpaceDE w:val="0"/>
        <w:autoSpaceDN w:val="0"/>
        <w:adjustRightInd w:val="0"/>
        <w:ind w:right="1200"/>
        <w:jc w:val="center"/>
        <w:rPr>
          <w:szCs w:val="22"/>
        </w:rPr>
      </w:pPr>
      <w:r w:rsidRPr="00EF577A">
        <w:rPr>
          <w:bCs/>
          <w:iCs/>
          <w:szCs w:val="22"/>
        </w:rPr>
        <w:t>86 F.3d 1447 (</w:t>
      </w:r>
      <w:r w:rsidRPr="00EF577A">
        <w:rPr>
          <w:bCs/>
          <w:szCs w:val="22"/>
        </w:rPr>
        <w:t>1996)</w:t>
      </w:r>
    </w:p>
    <w:p w14:paraId="2940F5A8" w14:textId="77777777" w:rsidR="00CA0CF8" w:rsidRPr="00EF577A" w:rsidRDefault="00CA0CF8" w:rsidP="00CA0CF8">
      <w:pPr>
        <w:autoSpaceDE w:val="0"/>
        <w:autoSpaceDN w:val="0"/>
        <w:adjustRightInd w:val="0"/>
        <w:rPr>
          <w:szCs w:val="22"/>
        </w:rPr>
      </w:pPr>
    </w:p>
    <w:p w14:paraId="3C1D089F" w14:textId="77777777" w:rsidR="00CA0CF8" w:rsidRPr="00EF577A" w:rsidRDefault="00CA0CF8" w:rsidP="00CA0CF8">
      <w:pPr>
        <w:autoSpaceDE w:val="0"/>
        <w:autoSpaceDN w:val="0"/>
        <w:adjustRightInd w:val="0"/>
        <w:rPr>
          <w:b/>
          <w:bCs/>
          <w:szCs w:val="22"/>
        </w:rPr>
      </w:pPr>
    </w:p>
    <w:p w14:paraId="40E08664" w14:textId="77777777" w:rsidR="00CA0CF8" w:rsidRPr="00EF577A" w:rsidRDefault="00CA0CF8" w:rsidP="00CA0CF8">
      <w:pPr>
        <w:autoSpaceDE w:val="0"/>
        <w:autoSpaceDN w:val="0"/>
        <w:adjustRightInd w:val="0"/>
        <w:rPr>
          <w:szCs w:val="22"/>
        </w:rPr>
      </w:pPr>
      <w:r w:rsidRPr="00EF577A">
        <w:rPr>
          <w:szCs w:val="22"/>
        </w:rPr>
        <w:t xml:space="preserve"> EASTERBROOK, </w:t>
      </w:r>
      <w:r w:rsidRPr="00EF577A">
        <w:rPr>
          <w:i/>
          <w:iCs/>
          <w:szCs w:val="22"/>
        </w:rPr>
        <w:t>Circuit Judge.</w:t>
      </w:r>
      <w:r w:rsidRPr="00EF577A">
        <w:rPr>
          <w:szCs w:val="22"/>
        </w:rPr>
        <w:t xml:space="preserve"> Must buyers of computer software obey the terms of </w:t>
      </w:r>
      <w:proofErr w:type="spellStart"/>
      <w:r w:rsidRPr="00EF577A">
        <w:rPr>
          <w:szCs w:val="22"/>
        </w:rPr>
        <w:t>shrinkwrap</w:t>
      </w:r>
      <w:proofErr w:type="spellEnd"/>
      <w:r w:rsidRPr="00EF577A">
        <w:rPr>
          <w:szCs w:val="22"/>
        </w:rPr>
        <w:t xml:space="preserve"> licenses? The district court held not, for two reasons: first, they are not contracts because the licenses are inside the box rather than printed on the outside; second, federal law forbids enforcement even if the licenses are contracts.  </w:t>
      </w:r>
      <w:r w:rsidRPr="00EF577A">
        <w:rPr>
          <w:i/>
          <w:iCs/>
          <w:szCs w:val="22"/>
        </w:rPr>
        <w:t>908 F. Supp. 640 (W.D. Wis. 1996).</w:t>
      </w:r>
      <w:r w:rsidRPr="00EF577A">
        <w:rPr>
          <w:szCs w:val="22"/>
        </w:rPr>
        <w:t xml:space="preserve"> The parties and numerous amici curiae have briefed many other issues, but these are the only two that matter--and we disagree with the district judge's conclusion on each. </w:t>
      </w:r>
      <w:proofErr w:type="spellStart"/>
      <w:r w:rsidRPr="00EF577A">
        <w:rPr>
          <w:szCs w:val="22"/>
        </w:rPr>
        <w:t>Shrinkwrap</w:t>
      </w:r>
      <w:proofErr w:type="spellEnd"/>
      <w:r w:rsidRPr="00EF577A">
        <w:rPr>
          <w:szCs w:val="22"/>
        </w:rPr>
        <w:t xml:space="preserve"> licenses are enforceable unless their terms are objectionable on grounds applicable to contracts in general (for example, if they violate a rule of positive law, or if they are unconscionable). Because no one argues that the terms of the license at issue here are troublesome, we remand with instructions to enter judgment for the plaintiff.</w:t>
      </w:r>
    </w:p>
    <w:p w14:paraId="009080E0" w14:textId="77777777" w:rsidR="00CA0CF8" w:rsidRPr="00EF577A" w:rsidRDefault="00CA0CF8" w:rsidP="00CA0CF8">
      <w:pPr>
        <w:autoSpaceDE w:val="0"/>
        <w:autoSpaceDN w:val="0"/>
        <w:adjustRightInd w:val="0"/>
        <w:spacing w:before="120"/>
        <w:rPr>
          <w:szCs w:val="22"/>
        </w:rPr>
      </w:pPr>
      <w:r w:rsidRPr="00EF577A">
        <w:rPr>
          <w:b/>
          <w:bCs/>
          <w:szCs w:val="22"/>
        </w:rPr>
        <w:t>I</w:t>
      </w:r>
    </w:p>
    <w:p w14:paraId="42ACBCFC" w14:textId="77777777" w:rsidR="00CA0CF8" w:rsidRPr="00EF577A" w:rsidRDefault="00CA0CF8" w:rsidP="00CA0CF8">
      <w:pPr>
        <w:autoSpaceDE w:val="0"/>
        <w:autoSpaceDN w:val="0"/>
        <w:adjustRightInd w:val="0"/>
        <w:spacing w:before="120"/>
        <w:rPr>
          <w:szCs w:val="22"/>
        </w:rPr>
      </w:pPr>
      <w:proofErr w:type="spellStart"/>
      <w:r w:rsidRPr="00EF577A">
        <w:rPr>
          <w:szCs w:val="22"/>
        </w:rPr>
        <w:t>ProCD</w:t>
      </w:r>
      <w:proofErr w:type="spellEnd"/>
      <w:r w:rsidRPr="00EF577A">
        <w:rPr>
          <w:szCs w:val="22"/>
        </w:rPr>
        <w:t xml:space="preserve">, the plaintiff, has compiled information from more than 3,000 telephone directories into a computer database. We may assume that this database cannot be copyrighted, although it is more complex, contains more information (nine-digit zip codes and census industrial codes), is organized differently, and therefore is more original than the single alphabetical directory at issue in </w:t>
      </w:r>
      <w:r w:rsidRPr="00EF577A">
        <w:rPr>
          <w:i/>
          <w:iCs/>
          <w:szCs w:val="22"/>
        </w:rPr>
        <w:t>Feist Publications, Inc. v. Rural Telephone Service Co., 499 U.S. 340, 113 L. Ed. 2d 358, 111 S. Ct. 1282 (1991).</w:t>
      </w:r>
      <w:r w:rsidRPr="00EF577A">
        <w:rPr>
          <w:szCs w:val="22"/>
        </w:rPr>
        <w:t xml:space="preserve"> See Paul J. Heald, </w:t>
      </w:r>
      <w:r w:rsidRPr="00EF577A">
        <w:rPr>
          <w:i/>
          <w:iCs/>
          <w:szCs w:val="22"/>
        </w:rPr>
        <w:t>The Vices of Originality,</w:t>
      </w:r>
      <w:r w:rsidRPr="00EF577A">
        <w:rPr>
          <w:szCs w:val="22"/>
        </w:rPr>
        <w:t xml:space="preserve"> </w:t>
      </w:r>
      <w:r w:rsidRPr="00EF577A">
        <w:rPr>
          <w:i/>
          <w:iCs/>
          <w:szCs w:val="22"/>
        </w:rPr>
        <w:t>1991 Sup. Ct. Rev. 143, 160-68.</w:t>
      </w:r>
      <w:r w:rsidRPr="00EF577A">
        <w:rPr>
          <w:szCs w:val="22"/>
        </w:rPr>
        <w:t xml:space="preserve"> </w:t>
      </w:r>
      <w:proofErr w:type="spellStart"/>
      <w:r w:rsidRPr="00EF577A">
        <w:rPr>
          <w:szCs w:val="22"/>
        </w:rPr>
        <w:t>ProCD</w:t>
      </w:r>
      <w:proofErr w:type="spellEnd"/>
      <w:r w:rsidRPr="00EF577A">
        <w:rPr>
          <w:szCs w:val="22"/>
        </w:rPr>
        <w:t xml:space="preserve"> sells a version of the database, called </w:t>
      </w:r>
      <w:proofErr w:type="spellStart"/>
      <w:r w:rsidRPr="00EF577A">
        <w:rPr>
          <w:szCs w:val="22"/>
        </w:rPr>
        <w:t>SelectPhone</w:t>
      </w:r>
      <w:proofErr w:type="spellEnd"/>
      <w:r w:rsidRPr="00EF577A">
        <w:rPr>
          <w:szCs w:val="22"/>
        </w:rPr>
        <w:t xml:space="preserve"> (trademark), on CD-ROM discs. (CD-ROM means "compact disc--read only memory." The "</w:t>
      </w:r>
      <w:proofErr w:type="spellStart"/>
      <w:r w:rsidRPr="00EF577A">
        <w:rPr>
          <w:szCs w:val="22"/>
        </w:rPr>
        <w:t>shrinkwrap</w:t>
      </w:r>
      <w:proofErr w:type="spellEnd"/>
      <w:r w:rsidRPr="00EF577A">
        <w:rPr>
          <w:szCs w:val="22"/>
        </w:rPr>
        <w:t xml:space="preserve"> license" gets its name from the fact that retail software packages are covered in plastic or cellophane "</w:t>
      </w:r>
      <w:proofErr w:type="spellStart"/>
      <w:r w:rsidRPr="00EF577A">
        <w:rPr>
          <w:szCs w:val="22"/>
        </w:rPr>
        <w:t>shrinkwrap</w:t>
      </w:r>
      <w:proofErr w:type="spellEnd"/>
      <w:r w:rsidRPr="00EF577A">
        <w:rPr>
          <w:szCs w:val="22"/>
        </w:rPr>
        <w:t xml:space="preserve">," and some vendors, though not </w:t>
      </w:r>
      <w:proofErr w:type="spellStart"/>
      <w:r w:rsidRPr="00EF577A">
        <w:rPr>
          <w:szCs w:val="22"/>
        </w:rPr>
        <w:t>ProCD</w:t>
      </w:r>
      <w:proofErr w:type="spellEnd"/>
      <w:r w:rsidRPr="00EF577A">
        <w:rPr>
          <w:szCs w:val="22"/>
        </w:rPr>
        <w:t xml:space="preserve">, have written licenses that become effective as soon as the customer tears the wrapping from the package. Vendors prefer "end user license," but we use the more common term.) A proprietary method of compressing the data serves as effective encryption too. Customers decrypt and use the data with the aid of an application program that </w:t>
      </w:r>
      <w:proofErr w:type="spellStart"/>
      <w:r w:rsidRPr="00EF577A">
        <w:rPr>
          <w:szCs w:val="22"/>
        </w:rPr>
        <w:t>ProCD</w:t>
      </w:r>
      <w:proofErr w:type="spellEnd"/>
      <w:r w:rsidRPr="00EF577A">
        <w:rPr>
          <w:szCs w:val="22"/>
        </w:rPr>
        <w:t xml:space="preserve"> has written. This program, which is copyrighted, searches the database in response to users' criteria (such as "find all people named Tatum in Tennessee, plus all firms with 'Door Systems' in the corporate name"). The resulting lists (or, as </w:t>
      </w:r>
      <w:proofErr w:type="spellStart"/>
      <w:r w:rsidRPr="00EF577A">
        <w:rPr>
          <w:szCs w:val="22"/>
        </w:rPr>
        <w:t>ProCD</w:t>
      </w:r>
      <w:proofErr w:type="spellEnd"/>
      <w:r w:rsidRPr="00EF577A">
        <w:rPr>
          <w:szCs w:val="22"/>
        </w:rPr>
        <w:t xml:space="preserve"> prefers, "listings") can be read and manipulated by other software, such as word processing programs.</w:t>
      </w:r>
    </w:p>
    <w:p w14:paraId="77DADE72" w14:textId="77777777" w:rsidR="00CA0CF8" w:rsidRPr="00EF577A" w:rsidRDefault="00CA0CF8" w:rsidP="00CA0CF8">
      <w:pPr>
        <w:autoSpaceDE w:val="0"/>
        <w:autoSpaceDN w:val="0"/>
        <w:adjustRightInd w:val="0"/>
        <w:spacing w:before="120"/>
        <w:rPr>
          <w:szCs w:val="22"/>
        </w:rPr>
      </w:pPr>
      <w:r w:rsidRPr="00EF577A">
        <w:rPr>
          <w:szCs w:val="22"/>
        </w:rPr>
        <w:t xml:space="preserve">The database in </w:t>
      </w:r>
      <w:proofErr w:type="spellStart"/>
      <w:r w:rsidRPr="00EF577A">
        <w:rPr>
          <w:szCs w:val="22"/>
        </w:rPr>
        <w:t>SelectPhone</w:t>
      </w:r>
      <w:proofErr w:type="spellEnd"/>
      <w:r w:rsidRPr="00EF577A">
        <w:rPr>
          <w:szCs w:val="22"/>
        </w:rPr>
        <w:t xml:space="preserve"> (trademark) cost more than $ 10 million to compile and is expensive to keep current. It is much more valuable to some users than to others. The combination of names, addresses, and sic codes enables manufacturers to compile lists of potential customers. Manufacturers and retailers pay high prices to specialized information intermediaries for such mailing lists; </w:t>
      </w:r>
      <w:proofErr w:type="spellStart"/>
      <w:r w:rsidRPr="00EF577A">
        <w:rPr>
          <w:szCs w:val="22"/>
        </w:rPr>
        <w:t>ProCD</w:t>
      </w:r>
      <w:proofErr w:type="spellEnd"/>
      <w:r w:rsidRPr="00EF577A">
        <w:rPr>
          <w:szCs w:val="22"/>
        </w:rPr>
        <w:t xml:space="preserve"> offers a potentially cheaper alternative. People with nothing to sell could use the database as a substitute for calling long distance information, or as a way to look up old friends who have moved to unknown towns, or just as </w:t>
      </w:r>
      <w:proofErr w:type="spellStart"/>
      <w:r w:rsidRPr="00EF577A">
        <w:rPr>
          <w:szCs w:val="22"/>
        </w:rPr>
        <w:t>a</w:t>
      </w:r>
      <w:proofErr w:type="spellEnd"/>
      <w:r w:rsidRPr="00EF577A">
        <w:rPr>
          <w:szCs w:val="22"/>
        </w:rPr>
        <w:t xml:space="preserve"> electronic substitute for the local phone book. </w:t>
      </w:r>
      <w:proofErr w:type="spellStart"/>
      <w:r w:rsidRPr="00EF577A">
        <w:rPr>
          <w:szCs w:val="22"/>
        </w:rPr>
        <w:t>ProCD</w:t>
      </w:r>
      <w:proofErr w:type="spellEnd"/>
      <w:r w:rsidRPr="00EF577A">
        <w:rPr>
          <w:szCs w:val="22"/>
        </w:rPr>
        <w:t xml:space="preserve"> decided to engage in price </w:t>
      </w:r>
      <w:r w:rsidRPr="00EF577A">
        <w:rPr>
          <w:szCs w:val="22"/>
        </w:rPr>
        <w:lastRenderedPageBreak/>
        <w:t xml:space="preserve">discrimination, selling its database to the general public for personal use at a low price (approximately $ 150 for the set of five discs) while selling information to the trade for a higher price. It has adopted some intermediate strategies too: access to the </w:t>
      </w:r>
      <w:proofErr w:type="spellStart"/>
      <w:r w:rsidRPr="00EF577A">
        <w:rPr>
          <w:szCs w:val="22"/>
        </w:rPr>
        <w:t>SelectPhone</w:t>
      </w:r>
      <w:proofErr w:type="spellEnd"/>
      <w:r w:rsidRPr="00EF577A">
        <w:rPr>
          <w:szCs w:val="22"/>
        </w:rPr>
        <w:t xml:space="preserve"> (trademark) database is available via the America On-line service for the price America Online charges to its clients (approximately $ 3 per hour), but this service has been tailored to be useful only to the general public.</w:t>
      </w:r>
    </w:p>
    <w:p w14:paraId="2294AAFC" w14:textId="77777777" w:rsidR="00CA0CF8" w:rsidRPr="00EF577A" w:rsidRDefault="00CA0CF8" w:rsidP="00CA0CF8">
      <w:pPr>
        <w:autoSpaceDE w:val="0"/>
        <w:autoSpaceDN w:val="0"/>
        <w:adjustRightInd w:val="0"/>
        <w:spacing w:before="120"/>
        <w:rPr>
          <w:szCs w:val="22"/>
        </w:rPr>
      </w:pPr>
      <w:r w:rsidRPr="00EF577A">
        <w:rPr>
          <w:szCs w:val="22"/>
        </w:rPr>
        <w:t xml:space="preserve">If </w:t>
      </w:r>
      <w:proofErr w:type="spellStart"/>
      <w:r w:rsidRPr="00EF577A">
        <w:rPr>
          <w:szCs w:val="22"/>
        </w:rPr>
        <w:t>ProCD</w:t>
      </w:r>
      <w:proofErr w:type="spellEnd"/>
      <w:r w:rsidRPr="00EF577A">
        <w:rPr>
          <w:szCs w:val="22"/>
        </w:rPr>
        <w:t xml:space="preserve"> had to recover all of its costs and make a profit by charging a single price--that is, if it could not charge more to commercial users than to the general public--it would have to raise the price substantially over $ 150. The ensuing reduction in sales would harm consumers who value the information at, say, $ 200. They get a consumer surplus of $ 50 under the current arrangement but would cease to buy if the price rose substantially. If because of high elasticity of demand in the consumer segment of the market the only way to make a profit turned out to be a price attractive to commercial users alone, then all consumers would lose out--and so would the commercial clients, who would have to pay more for the listings because </w:t>
      </w:r>
      <w:proofErr w:type="spellStart"/>
      <w:r w:rsidRPr="00EF577A">
        <w:rPr>
          <w:szCs w:val="22"/>
        </w:rPr>
        <w:t>ProCD</w:t>
      </w:r>
      <w:proofErr w:type="spellEnd"/>
      <w:r w:rsidRPr="00EF577A">
        <w:rPr>
          <w:szCs w:val="22"/>
        </w:rPr>
        <w:t xml:space="preserve"> could not obtain any contribution toward costs from the consumer market.</w:t>
      </w:r>
    </w:p>
    <w:p w14:paraId="3C704ADB" w14:textId="28272EC4" w:rsidR="00CA0CF8" w:rsidRPr="00EF577A" w:rsidRDefault="00CA0CF8" w:rsidP="00CA0CF8">
      <w:pPr>
        <w:autoSpaceDE w:val="0"/>
        <w:autoSpaceDN w:val="0"/>
        <w:adjustRightInd w:val="0"/>
        <w:spacing w:before="120"/>
        <w:rPr>
          <w:szCs w:val="22"/>
        </w:rPr>
      </w:pPr>
      <w:r w:rsidRPr="00EF577A">
        <w:rPr>
          <w:szCs w:val="22"/>
        </w:rPr>
        <w:t xml:space="preserve">To make price discrimination work, however, the seller must be able to control arbitrage. An air carrier sells tickets for less to vacationers than to business travelers, using advance purchase and Saturday-night-stay requirements to distinguish the categories. A producer of movies segments the market by time, releasing first to theaters, then to pay-per-view services, next to the videotape and laserdisc market, and finally to cable and commercial tv. Vendors of computer software have a harder task. Anyone can walk into a retail store and buy a box. Customers do not wear tags saying "commercial user" or "consumer user." Anyway, even a commercial-user-detector at the door would not work, because a consumer could buy the software and resell to a commercial user. That arbitrage would break down the price discrimination and drive up the minimum price at which </w:t>
      </w:r>
      <w:proofErr w:type="spellStart"/>
      <w:r w:rsidRPr="00EF577A">
        <w:rPr>
          <w:szCs w:val="22"/>
        </w:rPr>
        <w:t>ProCD</w:t>
      </w:r>
      <w:proofErr w:type="spellEnd"/>
      <w:r w:rsidRPr="00EF577A">
        <w:rPr>
          <w:szCs w:val="22"/>
        </w:rPr>
        <w:t xml:space="preserve"> would sell to anyone.</w:t>
      </w:r>
    </w:p>
    <w:p w14:paraId="3AF48E13" w14:textId="77777777" w:rsidR="00CA0CF8" w:rsidRPr="00EF577A" w:rsidRDefault="00CA0CF8" w:rsidP="00CA0CF8">
      <w:pPr>
        <w:autoSpaceDE w:val="0"/>
        <w:autoSpaceDN w:val="0"/>
        <w:adjustRightInd w:val="0"/>
        <w:spacing w:before="120"/>
        <w:rPr>
          <w:szCs w:val="22"/>
        </w:rPr>
      </w:pPr>
      <w:r w:rsidRPr="00EF577A">
        <w:rPr>
          <w:szCs w:val="22"/>
        </w:rPr>
        <w:t>Instead of tinkering with the product and letting users sort themselves--for example, furnishing current data at a high price that would be attractive only to commercial customers, and two-year-old data at a low price--</w:t>
      </w:r>
      <w:proofErr w:type="spellStart"/>
      <w:r w:rsidRPr="00EF577A">
        <w:rPr>
          <w:szCs w:val="22"/>
        </w:rPr>
        <w:t>ProCD</w:t>
      </w:r>
      <w:proofErr w:type="spellEnd"/>
      <w:r w:rsidRPr="00EF577A">
        <w:rPr>
          <w:szCs w:val="22"/>
        </w:rPr>
        <w:t xml:space="preserve"> turned to the institution of contract. Every box containing its consumer product declares that the software comes with restrictions stated in an enclosed license. This license, which is encoded on the CD-ROM disks as </w:t>
      </w:r>
      <w:proofErr w:type="gramStart"/>
      <w:r w:rsidRPr="00EF577A">
        <w:rPr>
          <w:szCs w:val="22"/>
        </w:rPr>
        <w:t>well  as</w:t>
      </w:r>
      <w:proofErr w:type="gramEnd"/>
      <w:r w:rsidRPr="00EF577A">
        <w:rPr>
          <w:szCs w:val="22"/>
        </w:rPr>
        <w:t xml:space="preserve"> printed in the manual, and which appears on a user's screen every time the software runs, limits use of the application program and listings to non-commercial purposes.</w:t>
      </w:r>
    </w:p>
    <w:p w14:paraId="52FB3290" w14:textId="77777777" w:rsidR="00CA0CF8" w:rsidRPr="00EF577A" w:rsidRDefault="00CA0CF8" w:rsidP="00CA0CF8">
      <w:pPr>
        <w:autoSpaceDE w:val="0"/>
        <w:autoSpaceDN w:val="0"/>
        <w:adjustRightInd w:val="0"/>
        <w:spacing w:before="120"/>
        <w:rPr>
          <w:szCs w:val="22"/>
        </w:rPr>
      </w:pPr>
      <w:r w:rsidRPr="00EF577A">
        <w:rPr>
          <w:szCs w:val="22"/>
        </w:rPr>
        <w:t xml:space="preserve">Matthew </w:t>
      </w:r>
      <w:proofErr w:type="spellStart"/>
      <w:r w:rsidRPr="00EF577A">
        <w:rPr>
          <w:szCs w:val="22"/>
        </w:rPr>
        <w:t>Zeidenberg</w:t>
      </w:r>
      <w:proofErr w:type="spellEnd"/>
      <w:r w:rsidRPr="00EF577A">
        <w:rPr>
          <w:szCs w:val="22"/>
        </w:rPr>
        <w:t xml:space="preserve"> bought a consumer package of </w:t>
      </w:r>
      <w:proofErr w:type="spellStart"/>
      <w:r w:rsidRPr="00EF577A">
        <w:rPr>
          <w:szCs w:val="22"/>
        </w:rPr>
        <w:t>SelectPhone</w:t>
      </w:r>
      <w:proofErr w:type="spellEnd"/>
      <w:r w:rsidRPr="00EF577A">
        <w:rPr>
          <w:szCs w:val="22"/>
        </w:rPr>
        <w:t xml:space="preserve"> (trademark) in 1994 from a retail outlet in Madison, Wisconsin, but decided to ignore the license. He formed Silken Mountain Web Services, Inc., to resell the information in the </w:t>
      </w:r>
      <w:proofErr w:type="spellStart"/>
      <w:r w:rsidRPr="00EF577A">
        <w:rPr>
          <w:szCs w:val="22"/>
        </w:rPr>
        <w:t>SelectPhone</w:t>
      </w:r>
      <w:proofErr w:type="spellEnd"/>
      <w:r w:rsidRPr="00EF577A">
        <w:rPr>
          <w:szCs w:val="22"/>
        </w:rPr>
        <w:t xml:space="preserve"> (trademark) database. The corporation makes the database available on the Internet to anyone willing to pay its price--which, needless to say, is less than </w:t>
      </w:r>
      <w:proofErr w:type="spellStart"/>
      <w:r w:rsidRPr="00EF577A">
        <w:rPr>
          <w:szCs w:val="22"/>
        </w:rPr>
        <w:t>ProCD</w:t>
      </w:r>
      <w:proofErr w:type="spellEnd"/>
      <w:r w:rsidRPr="00EF577A">
        <w:rPr>
          <w:szCs w:val="22"/>
        </w:rPr>
        <w:t xml:space="preserve"> charges its commercial customers. </w:t>
      </w:r>
      <w:proofErr w:type="spellStart"/>
      <w:r w:rsidRPr="00EF577A">
        <w:rPr>
          <w:szCs w:val="22"/>
        </w:rPr>
        <w:t>Zeidenberg</w:t>
      </w:r>
      <w:proofErr w:type="spellEnd"/>
      <w:r w:rsidRPr="00EF577A">
        <w:rPr>
          <w:szCs w:val="22"/>
        </w:rPr>
        <w:t xml:space="preserve"> has purchased two additional </w:t>
      </w:r>
      <w:proofErr w:type="spellStart"/>
      <w:r w:rsidRPr="00EF577A">
        <w:rPr>
          <w:szCs w:val="22"/>
        </w:rPr>
        <w:t>SelectPhone</w:t>
      </w:r>
      <w:proofErr w:type="spellEnd"/>
      <w:r w:rsidRPr="00EF577A">
        <w:rPr>
          <w:szCs w:val="22"/>
        </w:rPr>
        <w:t xml:space="preserve"> (trademark) packages, each with an updated version of the database, and made the latest information available over the World Wide Web, for a price, through his corporation. </w:t>
      </w:r>
      <w:proofErr w:type="spellStart"/>
      <w:r w:rsidRPr="00EF577A">
        <w:rPr>
          <w:szCs w:val="22"/>
        </w:rPr>
        <w:t>ProCD</w:t>
      </w:r>
      <w:proofErr w:type="spellEnd"/>
      <w:r w:rsidRPr="00EF577A">
        <w:rPr>
          <w:szCs w:val="22"/>
        </w:rPr>
        <w:t xml:space="preserve"> filed this suit seeking an injunction against further dissemination that exceeds the rights specified in the licenses (identical in each of the three packages </w:t>
      </w:r>
      <w:proofErr w:type="spellStart"/>
      <w:r w:rsidRPr="00EF577A">
        <w:rPr>
          <w:szCs w:val="22"/>
        </w:rPr>
        <w:t>Zeidenberg</w:t>
      </w:r>
      <w:proofErr w:type="spellEnd"/>
      <w:r w:rsidRPr="00EF577A">
        <w:rPr>
          <w:szCs w:val="22"/>
        </w:rPr>
        <w:t xml:space="preserve"> purchased). The district court held the licenses ineffectual because their terms do not appear on the outside of the </w:t>
      </w:r>
      <w:r w:rsidRPr="00EF577A">
        <w:rPr>
          <w:szCs w:val="22"/>
        </w:rPr>
        <w:lastRenderedPageBreak/>
        <w:t xml:space="preserve">packages. The court added that the second and third licenses stand no different from the first, even though they are identical, because they </w:t>
      </w:r>
      <w:r w:rsidRPr="00EF577A">
        <w:rPr>
          <w:i/>
          <w:iCs/>
          <w:szCs w:val="22"/>
        </w:rPr>
        <w:t>might</w:t>
      </w:r>
      <w:r w:rsidRPr="00EF577A">
        <w:rPr>
          <w:szCs w:val="22"/>
        </w:rPr>
        <w:t xml:space="preserve"> have been different, and a purchaser does not agree to--and cannot be bound by--terms that were secret at the time of purchase.  </w:t>
      </w:r>
      <w:r w:rsidRPr="00EF577A">
        <w:rPr>
          <w:i/>
          <w:iCs/>
          <w:szCs w:val="22"/>
        </w:rPr>
        <w:t>908 F. Supp. at 654.</w:t>
      </w:r>
    </w:p>
    <w:p w14:paraId="09CF98FB" w14:textId="77777777" w:rsidR="00CA0CF8" w:rsidRPr="00EF577A" w:rsidRDefault="00CA0CF8" w:rsidP="00CA0CF8">
      <w:pPr>
        <w:autoSpaceDE w:val="0"/>
        <w:autoSpaceDN w:val="0"/>
        <w:adjustRightInd w:val="0"/>
        <w:spacing w:before="120"/>
        <w:rPr>
          <w:szCs w:val="22"/>
        </w:rPr>
      </w:pPr>
      <w:r w:rsidRPr="00EF577A">
        <w:rPr>
          <w:b/>
          <w:bCs/>
          <w:szCs w:val="22"/>
        </w:rPr>
        <w:t>II</w:t>
      </w:r>
    </w:p>
    <w:p w14:paraId="7C2C806A" w14:textId="77777777" w:rsidR="00CA0CF8" w:rsidRPr="00EF577A" w:rsidRDefault="00CA0CF8" w:rsidP="00CA0CF8">
      <w:pPr>
        <w:autoSpaceDE w:val="0"/>
        <w:autoSpaceDN w:val="0"/>
        <w:adjustRightInd w:val="0"/>
        <w:spacing w:before="120"/>
        <w:rPr>
          <w:szCs w:val="22"/>
        </w:rPr>
      </w:pPr>
      <w:r w:rsidRPr="00EF577A">
        <w:rPr>
          <w:szCs w:val="22"/>
        </w:rPr>
        <w:t xml:space="preserve">Following the district court, we treat the licenses as ordinary contracts accompanying the sale of products, and therefore as governed by the common law of contracts and the Uniform Commercial Code. Whether there are legal differences between "contracts" and "licenses" (which may matter under the copyright doctrine of first sale) is a subject for another day. See </w:t>
      </w:r>
      <w:r w:rsidRPr="00EF577A">
        <w:rPr>
          <w:i/>
          <w:iCs/>
          <w:szCs w:val="22"/>
        </w:rPr>
        <w:t>Microsoft Corp. v. Harmony Computers &amp; Electronics, Inc., 846 F. Supp. 208 (E.D. N.Y. 1994).</w:t>
      </w:r>
      <w:r w:rsidRPr="00EF577A">
        <w:rPr>
          <w:szCs w:val="22"/>
        </w:rPr>
        <w:t xml:space="preserve"> </w:t>
      </w:r>
      <w:proofErr w:type="spellStart"/>
      <w:r w:rsidRPr="00EF577A">
        <w:rPr>
          <w:szCs w:val="22"/>
        </w:rPr>
        <w:t>Zeidenberg</w:t>
      </w:r>
      <w:proofErr w:type="spellEnd"/>
      <w:r w:rsidRPr="00EF577A">
        <w:rPr>
          <w:szCs w:val="22"/>
        </w:rPr>
        <w:t xml:space="preserve"> does not argue that Silken Mountain Web Services is free of any restrictions that apply to </w:t>
      </w:r>
      <w:proofErr w:type="spellStart"/>
      <w:r w:rsidRPr="00EF577A">
        <w:rPr>
          <w:szCs w:val="22"/>
        </w:rPr>
        <w:t>Zeidenberg</w:t>
      </w:r>
      <w:proofErr w:type="spellEnd"/>
      <w:r w:rsidRPr="00EF577A">
        <w:rPr>
          <w:szCs w:val="22"/>
        </w:rPr>
        <w:t xml:space="preserve"> himself, because any effort to treat the two parties as distinct would put Silken Mountain behind the eight ball on </w:t>
      </w:r>
      <w:proofErr w:type="spellStart"/>
      <w:r w:rsidRPr="00EF577A">
        <w:rPr>
          <w:szCs w:val="22"/>
        </w:rPr>
        <w:t>ProCD's</w:t>
      </w:r>
      <w:proofErr w:type="spellEnd"/>
      <w:r w:rsidRPr="00EF577A">
        <w:rPr>
          <w:szCs w:val="22"/>
        </w:rPr>
        <w:t xml:space="preserve"> argument that copying the application program onto its hard disk violates the copyright laws. </w:t>
      </w:r>
      <w:proofErr w:type="spellStart"/>
      <w:r w:rsidRPr="00EF577A">
        <w:rPr>
          <w:szCs w:val="22"/>
        </w:rPr>
        <w:t>Zeidenberg</w:t>
      </w:r>
      <w:proofErr w:type="spellEnd"/>
      <w:r w:rsidRPr="00EF577A">
        <w:rPr>
          <w:szCs w:val="22"/>
        </w:rPr>
        <w:t xml:space="preserve"> does argue, and the district court held, that placing the package of software on the shelf is an "offer," which the customer "accepts" by paying the asking price and leaving the store with the goods.  </w:t>
      </w:r>
      <w:r w:rsidRPr="00EF577A">
        <w:rPr>
          <w:i/>
          <w:iCs/>
          <w:szCs w:val="22"/>
        </w:rPr>
        <w:t>Peeters v. State, 154 Wis. 111, 142 N.W. 181 (1913).</w:t>
      </w:r>
      <w:r w:rsidRPr="00EF577A">
        <w:rPr>
          <w:szCs w:val="22"/>
        </w:rPr>
        <w:t xml:space="preserve"> In Wisconsin, as elsewhere, a contract includes only the terms on which the parties have agreed. One cannot agree to hidden terms, the judge concluded. So far, so good--but one of the terms to which </w:t>
      </w:r>
      <w:proofErr w:type="spellStart"/>
      <w:r w:rsidRPr="00EF577A">
        <w:rPr>
          <w:szCs w:val="22"/>
        </w:rPr>
        <w:t>Zeidenberg</w:t>
      </w:r>
      <w:proofErr w:type="spellEnd"/>
      <w:r w:rsidRPr="00EF577A">
        <w:rPr>
          <w:szCs w:val="22"/>
        </w:rPr>
        <w:t xml:space="preserve"> agreed by purchasing the software is that the transaction was subject to a license. </w:t>
      </w:r>
      <w:proofErr w:type="spellStart"/>
      <w:r w:rsidRPr="00EF577A">
        <w:rPr>
          <w:szCs w:val="22"/>
        </w:rPr>
        <w:t>Zeidenberg's</w:t>
      </w:r>
      <w:proofErr w:type="spellEnd"/>
      <w:r w:rsidRPr="00EF577A">
        <w:rPr>
          <w:szCs w:val="22"/>
        </w:rPr>
        <w:t xml:space="preserve"> position therefore must be that the printed terms on the outside of a box are the parties' contract--except for printed terms that refer to or incorporate other terms. But why would Wisconsin fetter the parties' choice in this way? Vendors can put the entire terms of a contract on the outside of a box only by using microscopic type, removing other information that buyers might find more useful (such as what the software does, and on which computers it works), or both. The "Read Me" file included with most software, describing system requirements and potential incompatibilities, may be equivalent to ten pages of type; warranties and license restrictions take still more space. Notice on the outside, terms on the inside, and a right to return the software for a refund if the terms are unacceptable (a right that the license expressly extends), may be a means of doing business valuable to buyers and sellers alike. See E. Allan Farnsworth, 1 </w:t>
      </w:r>
      <w:r w:rsidRPr="00EF577A">
        <w:rPr>
          <w:i/>
          <w:iCs/>
          <w:szCs w:val="22"/>
        </w:rPr>
        <w:t>Farnsworth on Contracts</w:t>
      </w:r>
      <w:r w:rsidRPr="00EF577A">
        <w:rPr>
          <w:szCs w:val="22"/>
        </w:rPr>
        <w:t xml:space="preserve"> </w:t>
      </w:r>
      <w:proofErr w:type="gramStart"/>
      <w:r w:rsidRPr="00EF577A">
        <w:rPr>
          <w:szCs w:val="22"/>
        </w:rPr>
        <w:t>§  4.26</w:t>
      </w:r>
      <w:proofErr w:type="gramEnd"/>
      <w:r w:rsidRPr="00EF577A">
        <w:rPr>
          <w:szCs w:val="22"/>
        </w:rPr>
        <w:t xml:space="preserve"> (1990); </w:t>
      </w:r>
      <w:r w:rsidRPr="00EF577A">
        <w:rPr>
          <w:i/>
          <w:iCs/>
          <w:szCs w:val="22"/>
        </w:rPr>
        <w:t>Restatement (2d) of Contracts</w:t>
      </w:r>
      <w:r w:rsidRPr="00EF577A">
        <w:rPr>
          <w:szCs w:val="22"/>
        </w:rPr>
        <w:t xml:space="preserve"> §  211 comment a (1981) ("Standardization of agreements serves many of the same functions as standardization of goods and services; both are essential to a system of mass production and distribution. Scarce and costly time and skill can be devoted to a class of transactions rather than the details of individual transactions."). Doubtless a state could forbid the use of standard contracts in the software business, but we do not think that Wisconsin has done so.</w:t>
      </w:r>
    </w:p>
    <w:p w14:paraId="52475B4B" w14:textId="77777777" w:rsidR="00CA0CF8" w:rsidRPr="00EF577A" w:rsidRDefault="00CA0CF8" w:rsidP="00CA0CF8">
      <w:pPr>
        <w:autoSpaceDE w:val="0"/>
        <w:autoSpaceDN w:val="0"/>
        <w:adjustRightInd w:val="0"/>
        <w:spacing w:before="120"/>
        <w:rPr>
          <w:szCs w:val="22"/>
        </w:rPr>
      </w:pPr>
      <w:r w:rsidRPr="00EF577A">
        <w:rPr>
          <w:szCs w:val="22"/>
        </w:rPr>
        <w:t xml:space="preserve">Transactions in which the exchange of money precedes the communication of detailed terms are common. Consider the purchase of insurance. The buyer goes to an agent, who explains the essentials (amount of coverage, number of years) and remits the premium to the home office, which sends back a policy. On the district judge's understanding, the terms of the policy are irrelevant because the insured paid before receiving them. Yet the device of payment, often with a "binder" (so that the insurance takes effect immediately even though the home office reserves the right to withdraw coverage later), in advance of the policy, serves buyers' interests by accelerating effectiveness and reducing transactions </w:t>
      </w:r>
      <w:r w:rsidRPr="00EF577A">
        <w:rPr>
          <w:szCs w:val="22"/>
        </w:rPr>
        <w:lastRenderedPageBreak/>
        <w:t xml:space="preserve">costs. Or consider the purchase of an airline ticket. The traveler calls the carrier or an agent, is quoted a price, reserves a seat, pays, and gets a ticket, in that order. The ticket contains elaborate terms, which the traveler can reject by canceling the reservation. To use the ticket is to accept the terms, even terms that in retrospect are disadvantageous. See </w:t>
      </w:r>
      <w:r w:rsidRPr="00EF577A">
        <w:rPr>
          <w:i/>
          <w:iCs/>
          <w:szCs w:val="22"/>
        </w:rPr>
        <w:t>Carnival Cruise Lines, Inc. v. Shute, 499 U.S. 585, 113 L. Ed. 2d 622, 111 S. Ct. 1522 (1991);</w:t>
      </w:r>
      <w:r w:rsidRPr="00EF577A">
        <w:rPr>
          <w:szCs w:val="22"/>
        </w:rPr>
        <w:t xml:space="preserve"> see also </w:t>
      </w:r>
      <w:proofErr w:type="spellStart"/>
      <w:r w:rsidRPr="00EF577A">
        <w:rPr>
          <w:i/>
          <w:iCs/>
          <w:szCs w:val="22"/>
        </w:rPr>
        <w:t>Vimar</w:t>
      </w:r>
      <w:proofErr w:type="spellEnd"/>
      <w:r w:rsidRPr="00EF577A">
        <w:rPr>
          <w:i/>
          <w:iCs/>
          <w:szCs w:val="22"/>
        </w:rPr>
        <w:t xml:space="preserve"> </w:t>
      </w:r>
      <w:proofErr w:type="spellStart"/>
      <w:r w:rsidRPr="00EF577A">
        <w:rPr>
          <w:i/>
          <w:iCs/>
          <w:szCs w:val="22"/>
        </w:rPr>
        <w:t>Seguros</w:t>
      </w:r>
      <w:proofErr w:type="spellEnd"/>
      <w:r w:rsidRPr="00EF577A">
        <w:rPr>
          <w:i/>
          <w:iCs/>
          <w:szCs w:val="22"/>
        </w:rPr>
        <w:t xml:space="preserve"> y </w:t>
      </w:r>
      <w:proofErr w:type="spellStart"/>
      <w:r w:rsidRPr="00EF577A">
        <w:rPr>
          <w:i/>
          <w:iCs/>
          <w:szCs w:val="22"/>
        </w:rPr>
        <w:t>Reaseguros</w:t>
      </w:r>
      <w:proofErr w:type="spellEnd"/>
      <w:r w:rsidRPr="00EF577A">
        <w:rPr>
          <w:i/>
          <w:iCs/>
          <w:szCs w:val="22"/>
        </w:rPr>
        <w:t>, S.A. v. M/V Sky Reefer, 132 L. Ed. 2d 462, 115 S. Ct. 2322 (1995)</w:t>
      </w:r>
      <w:r w:rsidRPr="00EF577A">
        <w:rPr>
          <w:szCs w:val="22"/>
        </w:rPr>
        <w:t xml:space="preserve"> (bills of lading). Just so with a ticket to a concert. The back of the ticket states that the patron promises not to record the concert; to attend is to agree. A theater that detects a violation will confiscate the tape and escort the violator to the exit. One </w:t>
      </w:r>
      <w:r w:rsidRPr="00EF577A">
        <w:rPr>
          <w:i/>
          <w:iCs/>
          <w:szCs w:val="22"/>
        </w:rPr>
        <w:t>could</w:t>
      </w:r>
      <w:r w:rsidRPr="00EF577A">
        <w:rPr>
          <w:szCs w:val="22"/>
        </w:rPr>
        <w:t xml:space="preserve"> arrange things so that every concertgoer signs this promise before forking over the money, but that cumbersome way of doing things not only would lengthen queues and raise prices but also would scotch the sale of tickets by phone or electronic data service.</w:t>
      </w:r>
    </w:p>
    <w:p w14:paraId="16861E98" w14:textId="77777777" w:rsidR="00CA0CF8" w:rsidRPr="00EF577A" w:rsidRDefault="00CA0CF8" w:rsidP="00CA0CF8">
      <w:pPr>
        <w:autoSpaceDE w:val="0"/>
        <w:autoSpaceDN w:val="0"/>
        <w:adjustRightInd w:val="0"/>
        <w:spacing w:before="120"/>
        <w:rPr>
          <w:szCs w:val="22"/>
        </w:rPr>
      </w:pPr>
      <w:r w:rsidRPr="00EF577A">
        <w:rPr>
          <w:szCs w:val="22"/>
        </w:rPr>
        <w:t xml:space="preserve">Consumer goods work the same way. Someone who wants to buy a radio set visits a store, pays, and walks out with a box. Inside the box is a leaflet containing some terms, the most important of which usually is the warranty, read for the first time in the comfort of home. By </w:t>
      </w:r>
      <w:proofErr w:type="spellStart"/>
      <w:r w:rsidRPr="00EF577A">
        <w:rPr>
          <w:szCs w:val="22"/>
        </w:rPr>
        <w:t>Zeidenberg's</w:t>
      </w:r>
      <w:proofErr w:type="spellEnd"/>
      <w:r w:rsidRPr="00EF577A">
        <w:rPr>
          <w:szCs w:val="22"/>
        </w:rPr>
        <w:t xml:space="preserve"> lights, the warranty in the box is irrelevant; every consumer gets the standard warranty implied by the UCC in the event the contract is silent; yet so far as we are aware no state disregards warranties furnished with consumer products. Drugs come with a list of ingredients on the outside and an elaborate package insert on the inside. The package insert describes drug interactions, contraindications, and other vital information--but, if </w:t>
      </w:r>
      <w:proofErr w:type="spellStart"/>
      <w:r w:rsidRPr="00EF577A">
        <w:rPr>
          <w:szCs w:val="22"/>
        </w:rPr>
        <w:t>Zeidenberg</w:t>
      </w:r>
      <w:proofErr w:type="spellEnd"/>
      <w:r w:rsidRPr="00EF577A">
        <w:rPr>
          <w:szCs w:val="22"/>
        </w:rPr>
        <w:t xml:space="preserve"> is right, the purchaser need not read the package insert, because it is not part of the contract.</w:t>
      </w:r>
    </w:p>
    <w:p w14:paraId="32507899" w14:textId="77777777" w:rsidR="00CA0CF8" w:rsidRPr="00EF577A" w:rsidRDefault="00CA0CF8" w:rsidP="00CA0CF8">
      <w:pPr>
        <w:autoSpaceDE w:val="0"/>
        <w:autoSpaceDN w:val="0"/>
        <w:adjustRightInd w:val="0"/>
        <w:spacing w:before="120"/>
        <w:rPr>
          <w:szCs w:val="22"/>
        </w:rPr>
      </w:pPr>
      <w:r w:rsidRPr="00EF577A">
        <w:rPr>
          <w:szCs w:val="22"/>
        </w:rPr>
        <w:t>Next consider the software industry itself. Only a minority of sales take place over the counter, where there are boxes to peruse. A customer pay place an order by phone in response to a line item in a catalog or a review in a magazine. Much software is ordered over the Internet by purchasers who have never seen a box. Increasingly software arrives by wire. There is no box; there is only a stream of electrons, a collection of information that includes data, an application program, instructions, many limitations ("</w:t>
      </w:r>
      <w:proofErr w:type="spellStart"/>
      <w:r w:rsidRPr="00EF577A">
        <w:rPr>
          <w:szCs w:val="22"/>
        </w:rPr>
        <w:t>MegaPixel</w:t>
      </w:r>
      <w:proofErr w:type="spellEnd"/>
      <w:r w:rsidRPr="00EF577A">
        <w:rPr>
          <w:szCs w:val="22"/>
        </w:rPr>
        <w:t xml:space="preserve"> 3.14159 cannot be used with Byte-Pusher 2.718"), and the terms of sale. The user purchases a serial number, which activates the software's features. On </w:t>
      </w:r>
      <w:proofErr w:type="spellStart"/>
      <w:r w:rsidRPr="00EF577A">
        <w:rPr>
          <w:szCs w:val="22"/>
        </w:rPr>
        <w:t>Zeidenberg's</w:t>
      </w:r>
      <w:proofErr w:type="spellEnd"/>
      <w:r w:rsidRPr="00EF577A">
        <w:rPr>
          <w:szCs w:val="22"/>
        </w:rPr>
        <w:t xml:space="preserve"> arguments, these unboxed sales are unfettered by terms--so the seller has made a broad warranty and must pay consequential damages for any shortfalls in performance, two "promises" that if taken seriously would drive prices through the ceiling or return transactions to the horse-and-buggy age.</w:t>
      </w:r>
    </w:p>
    <w:p w14:paraId="542F5514" w14:textId="77777777" w:rsidR="00CA0CF8" w:rsidRPr="00EF577A" w:rsidRDefault="00CA0CF8" w:rsidP="00CA0CF8">
      <w:pPr>
        <w:autoSpaceDE w:val="0"/>
        <w:autoSpaceDN w:val="0"/>
        <w:adjustRightInd w:val="0"/>
        <w:spacing w:before="120"/>
        <w:rPr>
          <w:szCs w:val="22"/>
        </w:rPr>
      </w:pPr>
      <w:r w:rsidRPr="00EF577A">
        <w:rPr>
          <w:szCs w:val="22"/>
        </w:rPr>
        <w:t xml:space="preserve">According to the district court, the UCC does not countenance the sequence of money now, terms later. (Wisconsin's version of the UCC does not differ from the Official Version in any material respect, so we use the regular numbering system. Wis. Stat. </w:t>
      </w:r>
      <w:proofErr w:type="gramStart"/>
      <w:r w:rsidRPr="00EF577A">
        <w:rPr>
          <w:szCs w:val="22"/>
        </w:rPr>
        <w:t>§  402.201</w:t>
      </w:r>
      <w:proofErr w:type="gramEnd"/>
      <w:r w:rsidRPr="00EF577A">
        <w:rPr>
          <w:szCs w:val="22"/>
        </w:rPr>
        <w:t xml:space="preserve"> corresponds to UCC §  2-201, and other citations are easy to derive.) One of the court's reasons--that by proposing as part of the draft Article 2B a new UCC </w:t>
      </w:r>
      <w:proofErr w:type="gramStart"/>
      <w:r w:rsidRPr="00EF577A">
        <w:rPr>
          <w:szCs w:val="22"/>
        </w:rPr>
        <w:t>§  2</w:t>
      </w:r>
      <w:proofErr w:type="gramEnd"/>
      <w:r w:rsidRPr="00EF577A">
        <w:rPr>
          <w:szCs w:val="22"/>
        </w:rPr>
        <w:t xml:space="preserve">-2203 that would explicitly validate standard-form user licenses, the American Law Institute and the National Conference of Commissioners on Uniform Laws have conceded the invalidity of </w:t>
      </w:r>
      <w:proofErr w:type="spellStart"/>
      <w:r w:rsidRPr="00EF577A">
        <w:rPr>
          <w:szCs w:val="22"/>
        </w:rPr>
        <w:t>shrinkwrap</w:t>
      </w:r>
      <w:proofErr w:type="spellEnd"/>
      <w:r w:rsidRPr="00EF577A">
        <w:rPr>
          <w:szCs w:val="22"/>
        </w:rPr>
        <w:t xml:space="preserve"> licenses under current law, see </w:t>
      </w:r>
      <w:r w:rsidRPr="00EF577A">
        <w:rPr>
          <w:i/>
          <w:iCs/>
          <w:szCs w:val="22"/>
        </w:rPr>
        <w:t>908 F. Supp. at 655-66</w:t>
      </w:r>
      <w:r w:rsidRPr="00EF577A">
        <w:rPr>
          <w:szCs w:val="22"/>
        </w:rPr>
        <w:t xml:space="preserve">--depends on a faulty inference. To propose a change in a law's </w:t>
      </w:r>
      <w:r w:rsidRPr="00EF577A">
        <w:rPr>
          <w:i/>
          <w:iCs/>
          <w:szCs w:val="22"/>
        </w:rPr>
        <w:t>text</w:t>
      </w:r>
      <w:r w:rsidRPr="00EF577A">
        <w:rPr>
          <w:szCs w:val="22"/>
        </w:rPr>
        <w:t xml:space="preserve"> is not necessarily to propose a change in the law's </w:t>
      </w:r>
      <w:r w:rsidRPr="00EF577A">
        <w:rPr>
          <w:i/>
          <w:iCs/>
          <w:szCs w:val="22"/>
        </w:rPr>
        <w:t>effect</w:t>
      </w:r>
      <w:r w:rsidRPr="00EF577A">
        <w:rPr>
          <w:szCs w:val="22"/>
        </w:rPr>
        <w:t xml:space="preserve">. New words may be designed to fortify the current rule with a more precise text that curtails uncertainty. To judge by the flux of law review articles discussing </w:t>
      </w:r>
      <w:proofErr w:type="spellStart"/>
      <w:r w:rsidRPr="00EF577A">
        <w:rPr>
          <w:szCs w:val="22"/>
        </w:rPr>
        <w:lastRenderedPageBreak/>
        <w:t>shrinkwrap</w:t>
      </w:r>
      <w:proofErr w:type="spellEnd"/>
      <w:r w:rsidRPr="00EF577A">
        <w:rPr>
          <w:szCs w:val="22"/>
        </w:rPr>
        <w:t xml:space="preserve"> licenses, uncertainty is much in need of reduction--although businesses seem to feel less uncertainty than do scholars, for only three cases (other than ours) touch on the subject, and none directly addresses it. See </w:t>
      </w:r>
      <w:r w:rsidRPr="00EF577A">
        <w:rPr>
          <w:i/>
          <w:iCs/>
          <w:szCs w:val="22"/>
        </w:rPr>
        <w:t>Step-Saver Data Systems, Inc. v. Wyse Technology, 939 F.2d 91 (3d Cir. 1991);</w:t>
      </w:r>
      <w:r w:rsidRPr="00EF577A">
        <w:rPr>
          <w:szCs w:val="22"/>
        </w:rPr>
        <w:t xml:space="preserve"> </w:t>
      </w:r>
      <w:r w:rsidRPr="00EF577A">
        <w:rPr>
          <w:i/>
          <w:iCs/>
          <w:szCs w:val="22"/>
        </w:rPr>
        <w:t>Vault Corp. v. Quaid Software Ltd., 847 F.2d 255, 268-70 (5th Cir. 1988);</w:t>
      </w:r>
      <w:r w:rsidRPr="00EF577A">
        <w:rPr>
          <w:szCs w:val="22"/>
        </w:rPr>
        <w:t xml:space="preserve"> </w:t>
      </w:r>
      <w:r w:rsidRPr="00EF577A">
        <w:rPr>
          <w:i/>
          <w:iCs/>
          <w:szCs w:val="22"/>
        </w:rPr>
        <w:t>Arizona Retail Systems, Inc. v. Software Link, Inc., 831 F. Supp. 759 (D. Ariz. 1993).</w:t>
      </w:r>
      <w:r w:rsidRPr="00EF577A">
        <w:rPr>
          <w:szCs w:val="22"/>
        </w:rPr>
        <w:t xml:space="preserve"> As their titles suggest, these are not consumer transactions. </w:t>
      </w:r>
      <w:r w:rsidRPr="00EF577A">
        <w:rPr>
          <w:i/>
          <w:iCs/>
          <w:szCs w:val="22"/>
        </w:rPr>
        <w:t>Step-Saver</w:t>
      </w:r>
      <w:r w:rsidRPr="00EF577A">
        <w:rPr>
          <w:szCs w:val="22"/>
        </w:rPr>
        <w:t xml:space="preserve"> is a battle-of-the-forms case, in which the parties exchange incompatible forms and a court must decide which prevails. See </w:t>
      </w:r>
      <w:r w:rsidRPr="00EF577A">
        <w:rPr>
          <w:i/>
          <w:iCs/>
          <w:szCs w:val="22"/>
        </w:rPr>
        <w:t xml:space="preserve">Northrop Corp. v. </w:t>
      </w:r>
      <w:proofErr w:type="spellStart"/>
      <w:r w:rsidRPr="00EF577A">
        <w:rPr>
          <w:i/>
          <w:iCs/>
          <w:szCs w:val="22"/>
        </w:rPr>
        <w:t>Litronic</w:t>
      </w:r>
      <w:proofErr w:type="spellEnd"/>
      <w:r w:rsidRPr="00EF577A">
        <w:rPr>
          <w:i/>
          <w:iCs/>
          <w:szCs w:val="22"/>
        </w:rPr>
        <w:t xml:space="preserve"> Industries, 29 F.3d 1173 (7th Cir. 1994)</w:t>
      </w:r>
      <w:r w:rsidRPr="00EF577A">
        <w:rPr>
          <w:szCs w:val="22"/>
        </w:rPr>
        <w:t xml:space="preserve"> (Illinois law); Douglas G. Baird &amp; Robert Weisberg, </w:t>
      </w:r>
      <w:r w:rsidRPr="00EF577A">
        <w:rPr>
          <w:i/>
          <w:iCs/>
          <w:szCs w:val="22"/>
        </w:rPr>
        <w:t>Rules, Standards, and the Battle of the Forms: A Reassessment</w:t>
      </w:r>
      <w:r w:rsidRPr="00EF577A">
        <w:rPr>
          <w:szCs w:val="22"/>
        </w:rPr>
        <w:t xml:space="preserve"> of </w:t>
      </w:r>
      <w:proofErr w:type="gramStart"/>
      <w:r w:rsidRPr="00EF577A">
        <w:rPr>
          <w:szCs w:val="22"/>
        </w:rPr>
        <w:t>§  2</w:t>
      </w:r>
      <w:proofErr w:type="gramEnd"/>
      <w:r w:rsidRPr="00EF577A">
        <w:rPr>
          <w:szCs w:val="22"/>
        </w:rPr>
        <w:t xml:space="preserve">-207, </w:t>
      </w:r>
      <w:r w:rsidRPr="00EF577A">
        <w:rPr>
          <w:i/>
          <w:iCs/>
          <w:szCs w:val="22"/>
        </w:rPr>
        <w:t>68 Va. L. Rev. 1217, 1227-31 (1982).</w:t>
      </w:r>
      <w:r w:rsidRPr="00EF577A">
        <w:rPr>
          <w:szCs w:val="22"/>
        </w:rPr>
        <w:t xml:space="preserve"> Our case has only one form; UCC </w:t>
      </w:r>
      <w:proofErr w:type="gramStart"/>
      <w:r w:rsidRPr="00EF577A">
        <w:rPr>
          <w:szCs w:val="22"/>
        </w:rPr>
        <w:t>§  2</w:t>
      </w:r>
      <w:proofErr w:type="gramEnd"/>
      <w:r w:rsidRPr="00EF577A">
        <w:rPr>
          <w:szCs w:val="22"/>
        </w:rPr>
        <w:t xml:space="preserve">-207 is irrelevant. </w:t>
      </w:r>
      <w:r w:rsidRPr="00EF577A">
        <w:rPr>
          <w:i/>
          <w:iCs/>
          <w:szCs w:val="22"/>
        </w:rPr>
        <w:t>Vault</w:t>
      </w:r>
      <w:r w:rsidRPr="00EF577A">
        <w:rPr>
          <w:szCs w:val="22"/>
        </w:rPr>
        <w:t xml:space="preserve"> holds that Louisiana's special </w:t>
      </w:r>
      <w:proofErr w:type="spellStart"/>
      <w:r w:rsidRPr="00EF577A">
        <w:rPr>
          <w:szCs w:val="22"/>
        </w:rPr>
        <w:t>shrinkwrap</w:t>
      </w:r>
      <w:proofErr w:type="spellEnd"/>
      <w:r w:rsidRPr="00EF577A">
        <w:rPr>
          <w:szCs w:val="22"/>
        </w:rPr>
        <w:t xml:space="preserve">-license statute is preempted by federal law, a question to which we return. And </w:t>
      </w:r>
      <w:r w:rsidRPr="00EF577A">
        <w:rPr>
          <w:i/>
          <w:iCs/>
          <w:szCs w:val="22"/>
        </w:rPr>
        <w:t>Arizona Retail Systems</w:t>
      </w:r>
      <w:r w:rsidRPr="00EF577A">
        <w:rPr>
          <w:szCs w:val="22"/>
        </w:rPr>
        <w:t xml:space="preserve"> did not reach the question, because the court found that the buyer knew the terms of the license before purchasing the software.</w:t>
      </w:r>
    </w:p>
    <w:p w14:paraId="36DFD5C1" w14:textId="77777777" w:rsidR="00CA0CF8" w:rsidRPr="00EF577A" w:rsidRDefault="00CA0CF8" w:rsidP="00CA0CF8">
      <w:pPr>
        <w:autoSpaceDE w:val="0"/>
        <w:autoSpaceDN w:val="0"/>
        <w:adjustRightInd w:val="0"/>
        <w:spacing w:before="120"/>
        <w:rPr>
          <w:szCs w:val="22"/>
        </w:rPr>
      </w:pPr>
      <w:r w:rsidRPr="00EF577A">
        <w:rPr>
          <w:szCs w:val="22"/>
        </w:rPr>
        <w:t xml:space="preserve">What then does the current version of the UCC have to say? We think that the place to start is § 2-204(1): "A contract for sale of goods may be made in any manner sufficient to show agreement, including conduct by both parties which recognizes the existence of such a contract." A vendor, as master of the offer, may invite acceptance by conduct, and may propose limitations on the kind of conduct that constitutes acceptance. A buyer may accept by performing the acts the vendor proposes to treat as acceptance. And that is what happened. </w:t>
      </w:r>
      <w:proofErr w:type="spellStart"/>
      <w:r w:rsidRPr="00EF577A">
        <w:rPr>
          <w:szCs w:val="22"/>
        </w:rPr>
        <w:t>ProCD</w:t>
      </w:r>
      <w:proofErr w:type="spellEnd"/>
      <w:r w:rsidRPr="00EF577A">
        <w:rPr>
          <w:szCs w:val="22"/>
        </w:rPr>
        <w:t xml:space="preserve"> proposed a contract that a buyer would accept by </w:t>
      </w:r>
      <w:r w:rsidRPr="00EF577A">
        <w:rPr>
          <w:i/>
          <w:iCs/>
          <w:szCs w:val="22"/>
        </w:rPr>
        <w:t>using</w:t>
      </w:r>
      <w:r w:rsidRPr="00EF577A">
        <w:rPr>
          <w:szCs w:val="22"/>
        </w:rPr>
        <w:t xml:space="preserve"> the software after having an opportunity to read the license at leisure. This </w:t>
      </w:r>
      <w:proofErr w:type="spellStart"/>
      <w:r w:rsidRPr="00EF577A">
        <w:rPr>
          <w:szCs w:val="22"/>
        </w:rPr>
        <w:t>Zeidenberg</w:t>
      </w:r>
      <w:proofErr w:type="spellEnd"/>
      <w:r w:rsidRPr="00EF577A">
        <w:rPr>
          <w:szCs w:val="22"/>
        </w:rPr>
        <w:t xml:space="preserve"> did. He had no choice, because the software splashed the license on the screen and would not let him proceed without indicating acceptance. </w:t>
      </w:r>
      <w:proofErr w:type="gramStart"/>
      <w:r w:rsidRPr="00EF577A">
        <w:rPr>
          <w:szCs w:val="22"/>
        </w:rPr>
        <w:t>So</w:t>
      </w:r>
      <w:proofErr w:type="gramEnd"/>
      <w:r w:rsidRPr="00EF577A">
        <w:rPr>
          <w:szCs w:val="22"/>
        </w:rPr>
        <w:t xml:space="preserve"> although the district judge was right to say that a contract can be, and often is, formed simply by paying the price and walking out of the store, the UCC permits contracts to be formed in other ways. </w:t>
      </w:r>
      <w:proofErr w:type="spellStart"/>
      <w:r w:rsidRPr="00EF577A">
        <w:rPr>
          <w:szCs w:val="22"/>
        </w:rPr>
        <w:t>ProCD</w:t>
      </w:r>
      <w:proofErr w:type="spellEnd"/>
      <w:r w:rsidRPr="00EF577A">
        <w:rPr>
          <w:szCs w:val="22"/>
        </w:rPr>
        <w:t xml:space="preserve"> proposed such a different way, and without protest </w:t>
      </w:r>
      <w:proofErr w:type="spellStart"/>
      <w:r w:rsidRPr="00EF577A">
        <w:rPr>
          <w:szCs w:val="22"/>
        </w:rPr>
        <w:t>Zeidenberg</w:t>
      </w:r>
      <w:proofErr w:type="spellEnd"/>
      <w:r w:rsidRPr="00EF577A">
        <w:rPr>
          <w:szCs w:val="22"/>
        </w:rPr>
        <w:t xml:space="preserve"> agreed. Ours is not a case in which a consumer opens a package to find an insert saying "you owe us an extra $ 10,000" and the seller files suit to collect. Any buyer finding such a demand can prevent formation of the contract by returning the package, as can any consumer who concludes that the terms of the license make the software worth less than the purchase price. Nothing in the UCC requires a seller to maximize the buyer's net gains.</w:t>
      </w:r>
    </w:p>
    <w:p w14:paraId="44181FC2" w14:textId="77777777" w:rsidR="00CA0CF8" w:rsidRPr="00EF577A" w:rsidRDefault="00CA0CF8" w:rsidP="00CA0CF8">
      <w:pPr>
        <w:autoSpaceDE w:val="0"/>
        <w:autoSpaceDN w:val="0"/>
        <w:adjustRightInd w:val="0"/>
        <w:spacing w:before="120"/>
        <w:rPr>
          <w:szCs w:val="22"/>
        </w:rPr>
      </w:pPr>
      <w:r w:rsidRPr="00EF577A">
        <w:rPr>
          <w:szCs w:val="22"/>
        </w:rPr>
        <w:t xml:space="preserve">Section 2-606, which defines "acceptance of goods", reinforces this understanding. A buyer accepts goods under § 2-606(1)(b) when, after an opportunity to inspect, he fails to make an effective rejection under </w:t>
      </w:r>
      <w:proofErr w:type="gramStart"/>
      <w:r w:rsidRPr="00EF577A">
        <w:rPr>
          <w:szCs w:val="22"/>
        </w:rPr>
        <w:t>§  2</w:t>
      </w:r>
      <w:proofErr w:type="gramEnd"/>
      <w:r w:rsidRPr="00EF577A">
        <w:rPr>
          <w:szCs w:val="22"/>
        </w:rPr>
        <w:t xml:space="preserve">-602(1). </w:t>
      </w:r>
      <w:proofErr w:type="spellStart"/>
      <w:r w:rsidRPr="00EF577A">
        <w:rPr>
          <w:szCs w:val="22"/>
        </w:rPr>
        <w:t>ProCD</w:t>
      </w:r>
      <w:proofErr w:type="spellEnd"/>
      <w:r w:rsidRPr="00EF577A">
        <w:rPr>
          <w:szCs w:val="22"/>
        </w:rPr>
        <w:t xml:space="preserve"> extended an opportunity to reject if a buyer should find the license terms unsatisfactory; </w:t>
      </w:r>
      <w:proofErr w:type="spellStart"/>
      <w:r w:rsidRPr="00EF577A">
        <w:rPr>
          <w:szCs w:val="22"/>
        </w:rPr>
        <w:t>Zeidenberg</w:t>
      </w:r>
      <w:proofErr w:type="spellEnd"/>
      <w:r w:rsidRPr="00EF577A">
        <w:rPr>
          <w:szCs w:val="22"/>
        </w:rPr>
        <w:t xml:space="preserve"> inspected the package, tried out the software, learned of the license, and did not reject the goods. We refer to </w:t>
      </w:r>
      <w:proofErr w:type="gramStart"/>
      <w:r w:rsidRPr="00EF577A">
        <w:rPr>
          <w:szCs w:val="22"/>
        </w:rPr>
        <w:t>§  2</w:t>
      </w:r>
      <w:proofErr w:type="gramEnd"/>
      <w:r w:rsidRPr="00EF577A">
        <w:rPr>
          <w:szCs w:val="22"/>
        </w:rPr>
        <w:t xml:space="preserve">-606 only to show that the opportunity to return goods can be important; acceptance of an offer differs from acceptance of goods after delivery, see </w:t>
      </w:r>
      <w:r w:rsidRPr="00EF577A">
        <w:rPr>
          <w:i/>
          <w:iCs/>
          <w:szCs w:val="22"/>
        </w:rPr>
        <w:t>Gillen v. Atalanta Systems, Inc., 997 F.2d 280, 284 n.1 (7th Cir. 1993);</w:t>
      </w:r>
      <w:r w:rsidRPr="00EF577A">
        <w:rPr>
          <w:szCs w:val="22"/>
        </w:rPr>
        <w:t xml:space="preserve"> but the UCC consistently permits the parties to structure their relations so that the buyer has a chance to make a final decision after a detailed review.</w:t>
      </w:r>
    </w:p>
    <w:p w14:paraId="6C873CBA" w14:textId="77777777" w:rsidR="00CA0CF8" w:rsidRPr="00EF577A" w:rsidRDefault="00CA0CF8" w:rsidP="00CA0CF8">
      <w:pPr>
        <w:autoSpaceDE w:val="0"/>
        <w:autoSpaceDN w:val="0"/>
        <w:adjustRightInd w:val="0"/>
        <w:spacing w:before="120"/>
        <w:rPr>
          <w:szCs w:val="22"/>
        </w:rPr>
      </w:pPr>
      <w:r w:rsidRPr="00EF577A">
        <w:rPr>
          <w:szCs w:val="22"/>
        </w:rPr>
        <w:t xml:space="preserve">Some portions of the UCC impose additional requirements on the way parties agree on terms. A disclaimer of the implied warranty of merchantability must be "conspicuous." UCC </w:t>
      </w:r>
      <w:proofErr w:type="gramStart"/>
      <w:r w:rsidRPr="00EF577A">
        <w:rPr>
          <w:szCs w:val="22"/>
        </w:rPr>
        <w:t>§  2</w:t>
      </w:r>
      <w:proofErr w:type="gramEnd"/>
      <w:r w:rsidRPr="00EF577A">
        <w:rPr>
          <w:szCs w:val="22"/>
        </w:rPr>
        <w:t xml:space="preserve">-316(2), incorporating UCC §  1-201(10). Promises to make firm offers, or to negate oral modifications, must be "separately signed." UCC § </w:t>
      </w:r>
      <w:proofErr w:type="gramStart"/>
      <w:r w:rsidRPr="00EF577A">
        <w:rPr>
          <w:szCs w:val="22"/>
        </w:rPr>
        <w:t>§  2</w:t>
      </w:r>
      <w:proofErr w:type="gramEnd"/>
      <w:r w:rsidRPr="00EF577A">
        <w:rPr>
          <w:szCs w:val="22"/>
        </w:rPr>
        <w:t xml:space="preserve">-205, 2-209(2). These </w:t>
      </w:r>
      <w:r w:rsidRPr="00EF577A">
        <w:rPr>
          <w:szCs w:val="22"/>
        </w:rPr>
        <w:lastRenderedPageBreak/>
        <w:t xml:space="preserve">special provisos reinforce the impression that, so far as the UCC is concerned, other terms may be as inconspicuous as the forum-selection clause on the back of the cruise ship ticket in </w:t>
      </w:r>
      <w:r w:rsidRPr="00EF577A">
        <w:rPr>
          <w:i/>
          <w:iCs/>
          <w:szCs w:val="22"/>
        </w:rPr>
        <w:t>Carnival Lines.</w:t>
      </w:r>
      <w:r w:rsidRPr="00EF577A">
        <w:rPr>
          <w:szCs w:val="22"/>
        </w:rPr>
        <w:t xml:space="preserve"> </w:t>
      </w:r>
      <w:proofErr w:type="spellStart"/>
      <w:r w:rsidRPr="00EF577A">
        <w:rPr>
          <w:szCs w:val="22"/>
        </w:rPr>
        <w:t>Zeidenberg</w:t>
      </w:r>
      <w:proofErr w:type="spellEnd"/>
      <w:r w:rsidRPr="00EF577A">
        <w:rPr>
          <w:szCs w:val="22"/>
        </w:rPr>
        <w:t xml:space="preserve"> has not located any Wisconsin case--for that matter, any case in any state--holding that under the UCC the ordinary terms found in </w:t>
      </w:r>
      <w:proofErr w:type="spellStart"/>
      <w:r w:rsidRPr="00EF577A">
        <w:rPr>
          <w:szCs w:val="22"/>
        </w:rPr>
        <w:t>shrinkwrap</w:t>
      </w:r>
      <w:proofErr w:type="spellEnd"/>
      <w:r w:rsidRPr="00EF577A">
        <w:rPr>
          <w:szCs w:val="22"/>
        </w:rPr>
        <w:t xml:space="preserve"> licenses require any special prominence, or otherwise are to be undercut rather than enforced. In the end, the terms of the license are conceptually identical to the contents of the package. Just as no court would dream of saying that </w:t>
      </w:r>
      <w:proofErr w:type="spellStart"/>
      <w:r w:rsidRPr="00EF577A">
        <w:rPr>
          <w:szCs w:val="22"/>
        </w:rPr>
        <w:t>SelectPhone</w:t>
      </w:r>
      <w:proofErr w:type="spellEnd"/>
      <w:r w:rsidRPr="00EF577A">
        <w:rPr>
          <w:szCs w:val="22"/>
        </w:rPr>
        <w:t xml:space="preserve"> (trademark) must contain 3,100 phone books rather than 3,000, or must have data no more than 30 days old, or must sell for $ 100 rather than $ 150--although any of these changes would be welcomed by the customer, if all other things were held constant--so, we believe, Wisconsin would not let the buyer pick and choose among terms. Terms of use are no less a part of "the product" than are the size of the database and the speed with which the software compiles listings. Competition among vendors, not judicial revision of a package's contents, is how consumers are protected in a market economy.  </w:t>
      </w:r>
      <w:r w:rsidRPr="00EF577A">
        <w:rPr>
          <w:i/>
          <w:iCs/>
          <w:szCs w:val="22"/>
        </w:rPr>
        <w:t>Digital Equipment Corp. v. Uniq Digital Technologies, Inc., 73 F.3d 756 (7th Cir. 1996).</w:t>
      </w:r>
      <w:r w:rsidRPr="00EF577A">
        <w:rPr>
          <w:szCs w:val="22"/>
        </w:rPr>
        <w:t xml:space="preserve"> </w:t>
      </w:r>
      <w:proofErr w:type="spellStart"/>
      <w:r w:rsidRPr="00EF577A">
        <w:rPr>
          <w:szCs w:val="22"/>
        </w:rPr>
        <w:t>ProCD</w:t>
      </w:r>
      <w:proofErr w:type="spellEnd"/>
      <w:r w:rsidRPr="00EF577A">
        <w:rPr>
          <w:szCs w:val="22"/>
        </w:rPr>
        <w:t xml:space="preserve"> has rivals, which may elect to compete by offering superior software, monthly updates, improved terms of use, lower price, or a better compromise among these elements. As we stressed above, adjusting terms in buyers' favor might help Matthew </w:t>
      </w:r>
      <w:proofErr w:type="spellStart"/>
      <w:r w:rsidRPr="00EF577A">
        <w:rPr>
          <w:szCs w:val="22"/>
        </w:rPr>
        <w:t>Zeidenberg</w:t>
      </w:r>
      <w:proofErr w:type="spellEnd"/>
      <w:r w:rsidRPr="00EF577A">
        <w:rPr>
          <w:szCs w:val="22"/>
        </w:rPr>
        <w:t xml:space="preserve"> today (he already has the software) but would lead to a response, such as a higher price, that might make consumers as a whole worse off. . . </w:t>
      </w:r>
    </w:p>
    <w:p w14:paraId="1B3190F3" w14:textId="77777777" w:rsidR="00CA0CF8" w:rsidRPr="00EF577A" w:rsidRDefault="00CA0CF8" w:rsidP="00CA0CF8">
      <w:pPr>
        <w:autoSpaceDE w:val="0"/>
        <w:autoSpaceDN w:val="0"/>
        <w:adjustRightInd w:val="0"/>
        <w:spacing w:before="120"/>
        <w:rPr>
          <w:szCs w:val="22"/>
        </w:rPr>
      </w:pPr>
      <w:r w:rsidRPr="00EF577A">
        <w:rPr>
          <w:szCs w:val="22"/>
        </w:rPr>
        <w:t xml:space="preserve"> </w:t>
      </w:r>
    </w:p>
    <w:p w14:paraId="57928AF9" w14:textId="77777777" w:rsidR="00CA0CF8" w:rsidRPr="00EF577A" w:rsidRDefault="00CA0CF8" w:rsidP="00CA0CF8">
      <w:pPr>
        <w:autoSpaceDE w:val="0"/>
        <w:autoSpaceDN w:val="0"/>
        <w:adjustRightInd w:val="0"/>
        <w:spacing w:before="120"/>
        <w:rPr>
          <w:szCs w:val="22"/>
        </w:rPr>
      </w:pPr>
      <w:r w:rsidRPr="00EF577A">
        <w:rPr>
          <w:szCs w:val="22"/>
        </w:rPr>
        <w:t xml:space="preserve">REVERSED AND REMANDED </w:t>
      </w:r>
    </w:p>
    <w:p w14:paraId="2BEA6459" w14:textId="77777777" w:rsidR="00CA0CF8" w:rsidRPr="00EF577A" w:rsidRDefault="00CA0CF8" w:rsidP="00CA0CF8">
      <w:pPr>
        <w:rPr>
          <w:szCs w:val="22"/>
        </w:rPr>
      </w:pPr>
    </w:p>
    <w:p w14:paraId="386A98D8" w14:textId="77777777" w:rsidR="00AC4F67" w:rsidRPr="00EF577A" w:rsidRDefault="00AC4F67" w:rsidP="00CA0CF8">
      <w:pPr>
        <w:rPr>
          <w:szCs w:val="22"/>
        </w:rPr>
      </w:pPr>
    </w:p>
    <w:p w14:paraId="5A1887C4" w14:textId="77777777" w:rsidR="00CA0CF8" w:rsidRPr="00EF577A" w:rsidRDefault="00CA0CF8" w:rsidP="00CA0CF8">
      <w:pPr>
        <w:rPr>
          <w:szCs w:val="22"/>
        </w:rPr>
      </w:pPr>
    </w:p>
    <w:p w14:paraId="7A1D5772" w14:textId="1D345136" w:rsidR="00CA0CF8" w:rsidRPr="00EF577A" w:rsidRDefault="00CA0CF8" w:rsidP="00CA0CF8">
      <w:pPr>
        <w:widowControl w:val="0"/>
        <w:autoSpaceDE w:val="0"/>
        <w:autoSpaceDN w:val="0"/>
        <w:adjustRightInd w:val="0"/>
        <w:ind w:right="101"/>
        <w:jc w:val="center"/>
        <w:outlineLvl w:val="0"/>
        <w:rPr>
          <w:color w:val="000000" w:themeColor="text1"/>
          <w:szCs w:val="22"/>
        </w:rPr>
      </w:pPr>
      <w:hyperlink r:id="rId26" w:history="1">
        <w:bookmarkStart w:id="28" w:name="_Toc28976507"/>
        <w:bookmarkStart w:id="29" w:name="_Toc57545204"/>
        <w:bookmarkStart w:id="30" w:name="_Toc186019885"/>
        <w:r w:rsidRPr="00EF577A">
          <w:rPr>
            <w:color w:val="000000" w:themeColor="text1"/>
            <w:szCs w:val="22"/>
          </w:rPr>
          <w:t>Perdue</w:t>
        </w:r>
      </w:hyperlink>
      <w:r w:rsidRPr="00EF577A">
        <w:rPr>
          <w:color w:val="000000" w:themeColor="text1"/>
          <w:szCs w:val="22"/>
        </w:rPr>
        <w:t xml:space="preserve"> v. Crocker National Bank</w:t>
      </w:r>
      <w:bookmarkEnd w:id="28"/>
      <w:bookmarkEnd w:id="29"/>
      <w:bookmarkEnd w:id="30"/>
    </w:p>
    <w:p w14:paraId="52B0AA2C" w14:textId="77777777" w:rsidR="00CA0CF8" w:rsidRPr="00EF577A" w:rsidRDefault="00CA0CF8" w:rsidP="00CA0CF8">
      <w:pPr>
        <w:widowControl w:val="0"/>
        <w:autoSpaceDE w:val="0"/>
        <w:autoSpaceDN w:val="0"/>
        <w:adjustRightInd w:val="0"/>
        <w:ind w:right="100"/>
        <w:jc w:val="center"/>
        <w:rPr>
          <w:color w:val="000000" w:themeColor="text1"/>
          <w:szCs w:val="22"/>
        </w:rPr>
      </w:pPr>
      <w:r w:rsidRPr="00EF577A">
        <w:rPr>
          <w:color w:val="000000" w:themeColor="text1"/>
          <w:szCs w:val="22"/>
        </w:rPr>
        <w:t>38 Cal.3d 913 (1986)</w:t>
      </w:r>
    </w:p>
    <w:p w14:paraId="5E7D3A44" w14:textId="77777777" w:rsidR="00CA0CF8" w:rsidRPr="00EF577A" w:rsidRDefault="00CA0CF8" w:rsidP="00CA0CF8">
      <w:pPr>
        <w:widowControl w:val="0"/>
        <w:autoSpaceDE w:val="0"/>
        <w:autoSpaceDN w:val="0"/>
        <w:adjustRightInd w:val="0"/>
        <w:jc w:val="both"/>
        <w:rPr>
          <w:b/>
          <w:bCs/>
          <w:color w:val="000000" w:themeColor="text1"/>
          <w:szCs w:val="22"/>
        </w:rPr>
      </w:pPr>
      <w:bookmarkStart w:id="31" w:name="co_opinion_1"/>
      <w:bookmarkEnd w:id="31"/>
      <w:r w:rsidRPr="00EF577A">
        <w:rPr>
          <w:b/>
          <w:bCs/>
          <w:color w:val="000000" w:themeColor="text1"/>
          <w:szCs w:val="22"/>
        </w:rPr>
        <w:t>Opinion</w:t>
      </w:r>
    </w:p>
    <w:p w14:paraId="05312C35" w14:textId="77777777" w:rsidR="00CA0CF8" w:rsidRPr="00EF577A" w:rsidRDefault="00CA0CF8" w:rsidP="00CA0CF8">
      <w:pPr>
        <w:widowControl w:val="0"/>
        <w:autoSpaceDE w:val="0"/>
        <w:autoSpaceDN w:val="0"/>
        <w:adjustRightInd w:val="0"/>
        <w:jc w:val="both"/>
        <w:rPr>
          <w:color w:val="000000" w:themeColor="text1"/>
          <w:szCs w:val="22"/>
        </w:rPr>
      </w:pPr>
      <w:r w:rsidRPr="00EF577A">
        <w:rPr>
          <w:color w:val="000000" w:themeColor="text1"/>
          <w:szCs w:val="22"/>
        </w:rPr>
        <w:t>BROUSSARD, Justice.</w:t>
      </w:r>
    </w:p>
    <w:p w14:paraId="4A799723" w14:textId="0FCBF31B" w:rsidR="00CA0CF8" w:rsidRPr="00EF577A" w:rsidRDefault="008E28E9" w:rsidP="00CA0CF8">
      <w:pPr>
        <w:widowControl w:val="0"/>
        <w:autoSpaceDE w:val="0"/>
        <w:autoSpaceDN w:val="0"/>
        <w:adjustRightInd w:val="0"/>
        <w:jc w:val="both"/>
        <w:rPr>
          <w:color w:val="000000" w:themeColor="text1"/>
          <w:szCs w:val="22"/>
        </w:rPr>
      </w:pPr>
      <w:bookmarkStart w:id="32" w:name="co_anchor_If5eaaee5505c11e698dc8b09b4f04"/>
      <w:bookmarkEnd w:id="32"/>
      <w:r>
        <w:rPr>
          <w:color w:val="000000" w:themeColor="text1"/>
          <w:szCs w:val="22"/>
        </w:rPr>
        <w:t>***</w:t>
      </w:r>
    </w:p>
    <w:p w14:paraId="35A80829"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Plaintiff filed this class action to challenge the validity of charges imposed by</w:t>
      </w:r>
      <w:bookmarkStart w:id="33" w:name="co_pp_sp_227_350_1"/>
      <w:bookmarkStart w:id="34" w:name="co_pp_sp_661_508_1"/>
      <w:bookmarkEnd w:id="33"/>
      <w:bookmarkEnd w:id="34"/>
      <w:r w:rsidRPr="00EF577A">
        <w:rPr>
          <w:color w:val="000000" w:themeColor="text1"/>
          <w:szCs w:val="22"/>
        </w:rPr>
        <w:t xml:space="preserve"> defendant Crocker National Bank for the processing of checks drawn on accounts without sufficient funds. (The parties refer to such checks as NSF checks and to the handling charge as an NSF charge.) He appeals from a judgment of the trial court entered after that court sustained defendant’s general demurrer without leave to amend.</w:t>
      </w:r>
    </w:p>
    <w:p w14:paraId="0A4DDCB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8185D4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On July 3, 1978, plaintiff filed suit on behalf of all persons with checking accounts at defendant bank and a subclass of customers who have paid NSF charges to the bank.</w:t>
      </w:r>
      <w:bookmarkStart w:id="35" w:name="co_footnoteReference_B00111985136898_ID0"/>
      <w:bookmarkEnd w:id="35"/>
      <w:r w:rsidRPr="00EF577A">
        <w:rPr>
          <w:color w:val="000000" w:themeColor="text1"/>
          <w:szCs w:val="22"/>
        </w:rPr>
        <w:t xml:space="preserve"> The complaint first alleges a contract under which the bank furnishes checking service in return for a maintenance charge.</w:t>
      </w:r>
      <w:bookmarkStart w:id="36" w:name="co_footnoteReference_B00221985136898_ID0"/>
      <w:bookmarkEnd w:id="36"/>
      <w:r w:rsidRPr="00EF577A">
        <w:rPr>
          <w:color w:val="000000" w:themeColor="text1"/>
          <w:szCs w:val="22"/>
        </w:rPr>
        <w:t xml:space="preserve"> It then asserts that “It is the practice of defendants to impose and collect a unilaterally set charge for processing checks presented against plaintiffs’ accounts when such accounts do not contain sufficient funds to cover the amount of the check.” “Defendants have at various times unilaterally increased the NSF charge to an amount the defendants deemed appropriate, without reference to any criteria, and defendants imposed and collected the said increased </w:t>
      </w:r>
      <w:bookmarkStart w:id="37" w:name="co_pp_sp_233_921_1"/>
      <w:bookmarkEnd w:id="37"/>
      <w:r w:rsidRPr="00EF577A">
        <w:rPr>
          <w:color w:val="000000" w:themeColor="text1"/>
          <w:szCs w:val="22"/>
        </w:rPr>
        <w:t xml:space="preserve">amount without any explanation or justification by defendants to plaintiffs.” At the time of filing of the suit, the charge was $6 </w:t>
      </w:r>
      <w:r w:rsidRPr="00EF577A">
        <w:rPr>
          <w:color w:val="000000" w:themeColor="text1"/>
          <w:szCs w:val="22"/>
        </w:rPr>
        <w:lastRenderedPageBreak/>
        <w:t>for each NSF check, whether the check was honored or returned unpaid, even though “the actual cost incurred by the defendants in processing an NSF check is approximately $0.30.”</w:t>
      </w:r>
    </w:p>
    <w:p w14:paraId="09C01523"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28F7A21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The bank requires each depositor to sign a signature card which it uses “to determine and verify the authenticity of endorsements on checks”. [The court held that the card constituted a contract.] In extremely small (6 point) type, the signature card states that the undersigned depositors “agree with Crocker National Bank and with each other that ... this account and all deposits therein shall be ... subject to all applicable laws, to the Bank’s present and future rules, regulations, practices and charges, and to its right of setoff for the obligations of any of us.” </w:t>
      </w:r>
    </w:p>
    <w:p w14:paraId="3F1296BD" w14:textId="77777777" w:rsidR="00CA0CF8" w:rsidRPr="00EF577A" w:rsidRDefault="00CA0CF8" w:rsidP="00CA0CF8">
      <w:pPr>
        <w:widowControl w:val="0"/>
        <w:autoSpaceDE w:val="0"/>
        <w:autoSpaceDN w:val="0"/>
        <w:adjustRightInd w:val="0"/>
        <w:rPr>
          <w:color w:val="000000" w:themeColor="text1"/>
          <w:szCs w:val="22"/>
        </w:rPr>
      </w:pPr>
    </w:p>
    <w:p w14:paraId="3BB6BBE9" w14:textId="7B1C492C" w:rsidR="00CA0CF8" w:rsidRPr="00EF577A" w:rsidRDefault="00CA0CF8" w:rsidP="00CA0CF8">
      <w:pPr>
        <w:widowControl w:val="0"/>
        <w:autoSpaceDE w:val="0"/>
        <w:autoSpaceDN w:val="0"/>
        <w:adjustRightInd w:val="0"/>
        <w:jc w:val="center"/>
        <w:outlineLvl w:val="0"/>
        <w:rPr>
          <w:color w:val="000000" w:themeColor="text1"/>
          <w:szCs w:val="22"/>
        </w:rPr>
      </w:pPr>
      <w:bookmarkStart w:id="38" w:name="_Toc33081433"/>
      <w:bookmarkStart w:id="39" w:name="_Toc57545205"/>
      <w:bookmarkStart w:id="40" w:name="_Toc186019886"/>
      <w:r w:rsidRPr="00EF577A">
        <w:rPr>
          <w:color w:val="000000" w:themeColor="text1"/>
          <w:szCs w:val="22"/>
        </w:rPr>
        <w:t>Specht v. Netscape</w:t>
      </w:r>
      <w:bookmarkEnd w:id="38"/>
      <w:bookmarkEnd w:id="39"/>
      <w:bookmarkEnd w:id="40"/>
    </w:p>
    <w:p w14:paraId="6C539B21" w14:textId="77777777" w:rsidR="00CA0CF8" w:rsidRPr="00EF577A" w:rsidRDefault="00CA0CF8" w:rsidP="00CA0CF8">
      <w:pPr>
        <w:widowControl w:val="0"/>
        <w:autoSpaceDE w:val="0"/>
        <w:autoSpaceDN w:val="0"/>
        <w:adjustRightInd w:val="0"/>
        <w:jc w:val="center"/>
        <w:rPr>
          <w:color w:val="000000" w:themeColor="text1"/>
          <w:szCs w:val="22"/>
        </w:rPr>
      </w:pPr>
      <w:r w:rsidRPr="00EF577A">
        <w:rPr>
          <w:color w:val="000000" w:themeColor="text1"/>
          <w:szCs w:val="22"/>
        </w:rPr>
        <w:t>306 F.3d 17 (2</w:t>
      </w:r>
      <w:r w:rsidRPr="00EF577A">
        <w:rPr>
          <w:color w:val="000000" w:themeColor="text1"/>
          <w:szCs w:val="22"/>
          <w:vertAlign w:val="superscript"/>
        </w:rPr>
        <w:t>nd</w:t>
      </w:r>
      <w:r w:rsidRPr="00EF577A">
        <w:rPr>
          <w:color w:val="000000" w:themeColor="text1"/>
          <w:szCs w:val="22"/>
        </w:rPr>
        <w:t xml:space="preserve"> Circuit N.Y., 2001)</w:t>
      </w:r>
    </w:p>
    <w:p w14:paraId="5E7337C0" w14:textId="77777777" w:rsidR="00CA0CF8" w:rsidRPr="00EF577A" w:rsidRDefault="00CA0CF8" w:rsidP="00CA0CF8">
      <w:pPr>
        <w:widowControl w:val="0"/>
        <w:autoSpaceDE w:val="0"/>
        <w:autoSpaceDN w:val="0"/>
        <w:adjustRightInd w:val="0"/>
        <w:rPr>
          <w:color w:val="000000" w:themeColor="text1"/>
          <w:szCs w:val="22"/>
        </w:rPr>
      </w:pPr>
    </w:p>
    <w:p w14:paraId="052E96D9"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SOTOMAYOR, Circuit Judge.</w:t>
      </w:r>
    </w:p>
    <w:p w14:paraId="675DAAF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This is an appeal from a judgment of the Southern District of New York denying a motion by defendants-appellants Netscape Communications Corporation and its corporate parent, America Online, Inc. (collectively, “defendants” or “Netscape”), to compel arbitration and to stay court proceedings. In order to resolve the central question of arbitrability presented here, we must address issues of contract formation in cyberspace. Principally, we are asked to determine whether plaintiffs-appellees (“plaintiffs”), by acting upon defendants' invitation to download free software made available on defendants' webpage, agreed to be bound by the software's license terms (which included the arbitration clause at issue), even though plaintiffs could not have learned of the existence of those terms unless, prior to executing the download, they had scrolled down the webpage to a screen located below the download button. We agree with the district court that a reasonably prudent Internet user in circumstances such as these would not have known or learned of the existence of the license terms before responding to defendants' invitation to download the free software, and that defendants therefore did not provide reasonable notice of the license terms. In consequence, plaintiffs' bare act of downloading the software did not unambiguously manifest assent to the arbitration provision contained in the license terms.</w:t>
      </w:r>
    </w:p>
    <w:p w14:paraId="0F75B9E7" w14:textId="77777777" w:rsidR="00CA0CF8" w:rsidRPr="00EF577A" w:rsidRDefault="00CA0CF8" w:rsidP="00CA0CF8">
      <w:pPr>
        <w:widowControl w:val="0"/>
        <w:autoSpaceDE w:val="0"/>
        <w:autoSpaceDN w:val="0"/>
        <w:adjustRightInd w:val="0"/>
        <w:rPr>
          <w:color w:val="000000" w:themeColor="text1"/>
          <w:szCs w:val="22"/>
        </w:rPr>
      </w:pPr>
    </w:p>
    <w:p w14:paraId="32698E6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 .</w:t>
      </w:r>
    </w:p>
    <w:p w14:paraId="16893487" w14:textId="77777777" w:rsidR="00CA0CF8" w:rsidRPr="00EF577A" w:rsidRDefault="00CA0CF8" w:rsidP="00CA0CF8">
      <w:pPr>
        <w:widowControl w:val="0"/>
        <w:autoSpaceDE w:val="0"/>
        <w:autoSpaceDN w:val="0"/>
        <w:adjustRightInd w:val="0"/>
        <w:rPr>
          <w:color w:val="000000" w:themeColor="text1"/>
          <w:szCs w:val="22"/>
        </w:rPr>
      </w:pPr>
    </w:p>
    <w:p w14:paraId="28B0E57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We therefore affirm the district court's denial of defendants' motion to compel arbitration and to stay court proceedings.</w:t>
      </w:r>
    </w:p>
    <w:p w14:paraId="25604945" w14:textId="77777777" w:rsidR="00CA0CF8" w:rsidRPr="00EF577A" w:rsidRDefault="00CA0CF8" w:rsidP="00CA0CF8">
      <w:pPr>
        <w:widowControl w:val="0"/>
        <w:autoSpaceDE w:val="0"/>
        <w:autoSpaceDN w:val="0"/>
        <w:adjustRightInd w:val="0"/>
        <w:rPr>
          <w:color w:val="000000" w:themeColor="text1"/>
          <w:szCs w:val="22"/>
        </w:rPr>
      </w:pPr>
    </w:p>
    <w:p w14:paraId="79E7AEA2" w14:textId="77777777" w:rsidR="00CA0CF8" w:rsidRPr="00EF577A" w:rsidRDefault="00CA0CF8" w:rsidP="00CA0CF8">
      <w:pPr>
        <w:widowControl w:val="0"/>
        <w:autoSpaceDE w:val="0"/>
        <w:autoSpaceDN w:val="0"/>
        <w:adjustRightInd w:val="0"/>
        <w:rPr>
          <w:b/>
          <w:color w:val="000000" w:themeColor="text1"/>
          <w:szCs w:val="22"/>
        </w:rPr>
      </w:pPr>
      <w:r w:rsidRPr="00EF577A">
        <w:rPr>
          <w:b/>
          <w:color w:val="000000" w:themeColor="text1"/>
          <w:szCs w:val="22"/>
        </w:rPr>
        <w:t>BACKGROUND</w:t>
      </w:r>
    </w:p>
    <w:p w14:paraId="4823837F" w14:textId="77777777" w:rsidR="00CA0CF8" w:rsidRPr="00EF577A" w:rsidRDefault="00CA0CF8" w:rsidP="00CA0CF8">
      <w:pPr>
        <w:widowControl w:val="0"/>
        <w:autoSpaceDE w:val="0"/>
        <w:autoSpaceDN w:val="0"/>
        <w:adjustRightInd w:val="0"/>
        <w:rPr>
          <w:color w:val="000000" w:themeColor="text1"/>
          <w:szCs w:val="22"/>
        </w:rPr>
      </w:pPr>
    </w:p>
    <w:p w14:paraId="157888B7" w14:textId="77777777" w:rsidR="00CA0CF8" w:rsidRPr="00EF577A" w:rsidRDefault="00CA0CF8" w:rsidP="00CA0CF8">
      <w:pPr>
        <w:widowControl w:val="0"/>
        <w:autoSpaceDE w:val="0"/>
        <w:autoSpaceDN w:val="0"/>
        <w:adjustRightInd w:val="0"/>
        <w:rPr>
          <w:b/>
          <w:color w:val="000000" w:themeColor="text1"/>
          <w:szCs w:val="22"/>
        </w:rPr>
      </w:pPr>
      <w:r w:rsidRPr="00EF577A">
        <w:rPr>
          <w:b/>
          <w:color w:val="000000" w:themeColor="text1"/>
          <w:szCs w:val="22"/>
        </w:rPr>
        <w:t>I. Facts</w:t>
      </w:r>
    </w:p>
    <w:p w14:paraId="4C218555" w14:textId="77777777" w:rsidR="00CA0CF8" w:rsidRPr="00EF577A" w:rsidRDefault="00CA0CF8" w:rsidP="00CA0CF8">
      <w:pPr>
        <w:widowControl w:val="0"/>
        <w:autoSpaceDE w:val="0"/>
        <w:autoSpaceDN w:val="0"/>
        <w:adjustRightInd w:val="0"/>
        <w:rPr>
          <w:color w:val="000000" w:themeColor="text1"/>
          <w:szCs w:val="22"/>
        </w:rPr>
      </w:pPr>
    </w:p>
    <w:p w14:paraId="3D04F834"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In three related putative class actions, plaintiffs alleged that, unknown to them, their use of </w:t>
      </w:r>
      <w:proofErr w:type="spellStart"/>
      <w:r w:rsidRPr="00EF577A">
        <w:rPr>
          <w:color w:val="000000" w:themeColor="text1"/>
          <w:szCs w:val="22"/>
        </w:rPr>
        <w:t>SmartDownload</w:t>
      </w:r>
      <w:proofErr w:type="spellEnd"/>
      <w:r w:rsidRPr="00EF577A">
        <w:rPr>
          <w:color w:val="000000" w:themeColor="text1"/>
          <w:szCs w:val="22"/>
        </w:rPr>
        <w:t xml:space="preserve"> transmitted to </w:t>
      </w:r>
      <w:proofErr w:type="gramStart"/>
      <w:r w:rsidRPr="00EF577A">
        <w:rPr>
          <w:color w:val="000000" w:themeColor="text1"/>
          <w:szCs w:val="22"/>
        </w:rPr>
        <w:t>defendants</w:t>
      </w:r>
      <w:proofErr w:type="gramEnd"/>
      <w:r w:rsidRPr="00EF577A">
        <w:rPr>
          <w:color w:val="000000" w:themeColor="text1"/>
          <w:szCs w:val="22"/>
        </w:rPr>
        <w:t xml:space="preserve"> private information about plaintiffs' downloading of files from the Internet, thereby effecting an electronic surveillance of their online activities in violation of two federal statutes, the Electronic Communications Privacy Act, 18 U.S.C. §§ 2510 </w:t>
      </w:r>
      <w:r w:rsidRPr="00EF577A">
        <w:rPr>
          <w:i/>
          <w:iCs/>
          <w:color w:val="000000" w:themeColor="text1"/>
          <w:szCs w:val="22"/>
        </w:rPr>
        <w:t>et seq.,</w:t>
      </w:r>
      <w:r w:rsidRPr="00EF577A">
        <w:rPr>
          <w:color w:val="000000" w:themeColor="text1"/>
          <w:szCs w:val="22"/>
        </w:rPr>
        <w:t xml:space="preserve"> and the Computer Fraud and Abuse Act, 18 U.S.C. § </w:t>
      </w:r>
      <w:r w:rsidRPr="00EF577A">
        <w:rPr>
          <w:color w:val="000000" w:themeColor="text1"/>
          <w:szCs w:val="22"/>
        </w:rPr>
        <w:lastRenderedPageBreak/>
        <w:t>1030.</w:t>
      </w:r>
    </w:p>
    <w:p w14:paraId="02B2B311" w14:textId="77777777" w:rsidR="00CA0CF8" w:rsidRPr="00EF577A" w:rsidRDefault="00CA0CF8" w:rsidP="00CA0CF8">
      <w:pPr>
        <w:widowControl w:val="0"/>
        <w:autoSpaceDE w:val="0"/>
        <w:autoSpaceDN w:val="0"/>
        <w:adjustRightInd w:val="0"/>
        <w:rPr>
          <w:color w:val="000000" w:themeColor="text1"/>
          <w:szCs w:val="22"/>
        </w:rPr>
      </w:pPr>
    </w:p>
    <w:p w14:paraId="1C8C544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Specifically, plaintiffs alleged that when they first used Netscape's Communicator--a software program that permits Internet browsing--the program created and stored on each of their computer hard drives a small text file known as a “cookie” that functioned “as a kind of electronic identification tag for future communications” between their computers and Netscape. Plaintiffs further alleged that when they installed </w:t>
      </w:r>
      <w:proofErr w:type="spellStart"/>
      <w:r w:rsidRPr="00EF577A">
        <w:rPr>
          <w:color w:val="000000" w:themeColor="text1"/>
          <w:szCs w:val="22"/>
        </w:rPr>
        <w:t>SmartDownload</w:t>
      </w:r>
      <w:proofErr w:type="spellEnd"/>
      <w:r w:rsidRPr="00EF577A">
        <w:rPr>
          <w:color w:val="000000" w:themeColor="text1"/>
          <w:szCs w:val="22"/>
        </w:rPr>
        <w:t>--a separate software “plug-in” that served to enhance Communicator's browsing capabilities--</w:t>
      </w:r>
      <w:proofErr w:type="spellStart"/>
      <w:r w:rsidRPr="00EF577A">
        <w:rPr>
          <w:color w:val="000000" w:themeColor="text1"/>
          <w:szCs w:val="22"/>
        </w:rPr>
        <w:t>SmartDownload</w:t>
      </w:r>
      <w:proofErr w:type="spellEnd"/>
      <w:r w:rsidRPr="00EF577A">
        <w:rPr>
          <w:color w:val="000000" w:themeColor="text1"/>
          <w:szCs w:val="22"/>
        </w:rPr>
        <w:t xml:space="preserve"> created and stored on their computer hard drives another string of characters, known as a “Key,” which similarly functioned as an identification tag in future communications with Netscape. According to the complaints in this case, each time a computer user employed Communicator to download a file from the Internet, </w:t>
      </w:r>
      <w:proofErr w:type="spellStart"/>
      <w:r w:rsidRPr="00EF577A">
        <w:rPr>
          <w:color w:val="000000" w:themeColor="text1"/>
          <w:szCs w:val="22"/>
        </w:rPr>
        <w:t>SmartDownload</w:t>
      </w:r>
      <w:proofErr w:type="spellEnd"/>
      <w:r w:rsidRPr="00EF577A">
        <w:rPr>
          <w:color w:val="000000" w:themeColor="text1"/>
          <w:szCs w:val="22"/>
        </w:rPr>
        <w:t xml:space="preserve"> “assume[d] from Communicator the task of downloading” the file and transmitted to Netscape the address of the file being downloaded together with the cookie created by Communicator and the Key created by </w:t>
      </w:r>
      <w:proofErr w:type="spellStart"/>
      <w:r w:rsidRPr="00EF577A">
        <w:rPr>
          <w:color w:val="000000" w:themeColor="text1"/>
          <w:szCs w:val="22"/>
        </w:rPr>
        <w:t>SmartDownload</w:t>
      </w:r>
      <w:proofErr w:type="spellEnd"/>
      <w:r w:rsidRPr="00EF577A">
        <w:rPr>
          <w:color w:val="000000" w:themeColor="text1"/>
          <w:szCs w:val="22"/>
        </w:rPr>
        <w:t xml:space="preserve">. These processes, plaintiffs claim, constituted unlawful “eavesdropping” on users of Netscape's software products as well as on Internet websites from which users employing </w:t>
      </w:r>
      <w:proofErr w:type="spellStart"/>
      <w:r w:rsidRPr="00EF577A">
        <w:rPr>
          <w:color w:val="000000" w:themeColor="text1"/>
          <w:szCs w:val="22"/>
        </w:rPr>
        <w:t>SmartDownload</w:t>
      </w:r>
      <w:proofErr w:type="spellEnd"/>
      <w:r w:rsidRPr="00EF577A">
        <w:rPr>
          <w:color w:val="000000" w:themeColor="text1"/>
          <w:szCs w:val="22"/>
        </w:rPr>
        <w:t xml:space="preserve"> downloaded files.</w:t>
      </w:r>
    </w:p>
    <w:p w14:paraId="4E8A6ECE" w14:textId="77777777" w:rsidR="00CA0CF8" w:rsidRPr="00EF577A" w:rsidRDefault="00CA0CF8" w:rsidP="00CA0CF8">
      <w:pPr>
        <w:widowControl w:val="0"/>
        <w:autoSpaceDE w:val="0"/>
        <w:autoSpaceDN w:val="0"/>
        <w:adjustRightInd w:val="0"/>
        <w:rPr>
          <w:color w:val="000000" w:themeColor="text1"/>
          <w:szCs w:val="22"/>
        </w:rPr>
      </w:pPr>
    </w:p>
    <w:p w14:paraId="2FC9B01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In the time period relevant to this litigation, Netscape offered on its website various software programs, including Communicator and </w:t>
      </w:r>
      <w:proofErr w:type="spellStart"/>
      <w:r w:rsidRPr="00EF577A">
        <w:rPr>
          <w:color w:val="000000" w:themeColor="text1"/>
          <w:szCs w:val="22"/>
        </w:rPr>
        <w:t>SmartDownload</w:t>
      </w:r>
      <w:proofErr w:type="spellEnd"/>
      <w:r w:rsidRPr="00EF577A">
        <w:rPr>
          <w:color w:val="000000" w:themeColor="text1"/>
          <w:szCs w:val="22"/>
        </w:rPr>
        <w:t>, which visitors to the site were invited to obtain free of charge. It is undisputed that five of the six named plaintiffs--Michael Fagan, John Gibson, Mark Gruber, Sean Kelly, and Sherry Weindorf--downloaded Communicator from the Netscape website. These plaintiffs acknowledge that when they proceeded to initiate installation of Communicator,</w:t>
      </w:r>
      <w:r w:rsidRPr="00EF577A">
        <w:rPr>
          <w:b/>
          <w:color w:val="000000" w:themeColor="text1"/>
          <w:szCs w:val="22"/>
        </w:rPr>
        <w:t xml:space="preserve"> </w:t>
      </w:r>
      <w:r w:rsidRPr="00EF577A">
        <w:rPr>
          <w:color w:val="000000" w:themeColor="text1"/>
          <w:szCs w:val="22"/>
        </w:rPr>
        <w:t xml:space="preserve">they were automatically shown a scrollable text of that program's license agreement and were not permitted to complete the installation until they had clicked on a “Yes” button to indicate that they accepted all the license terms. If a user attempted to install Communicator without clicking “Yes,” the installation would be aborted. All five named user plaintiffs expressly agreed to Communicator's license terms by clicking “Yes.” The Communicator license agreement that these plaintiffs saw made no mention of </w:t>
      </w:r>
      <w:proofErr w:type="spellStart"/>
      <w:r w:rsidRPr="00EF577A">
        <w:rPr>
          <w:color w:val="000000" w:themeColor="text1"/>
          <w:szCs w:val="22"/>
        </w:rPr>
        <w:t>SmartDownload</w:t>
      </w:r>
      <w:proofErr w:type="spellEnd"/>
      <w:r w:rsidRPr="00EF577A">
        <w:rPr>
          <w:color w:val="000000" w:themeColor="text1"/>
          <w:szCs w:val="22"/>
        </w:rPr>
        <w:t xml:space="preserve"> or other plug-in programs, and stated that “[t]</w:t>
      </w:r>
      <w:proofErr w:type="spellStart"/>
      <w:r w:rsidRPr="00EF577A">
        <w:rPr>
          <w:color w:val="000000" w:themeColor="text1"/>
          <w:szCs w:val="22"/>
        </w:rPr>
        <w:t>hese</w:t>
      </w:r>
      <w:proofErr w:type="spellEnd"/>
      <w:r w:rsidRPr="00EF577A">
        <w:rPr>
          <w:color w:val="000000" w:themeColor="text1"/>
          <w:szCs w:val="22"/>
        </w:rPr>
        <w:t xml:space="preserve"> terms apply to Netscape Communicator and Netscape Navigator” and that “all disputes relating to this Agreement (excepting any dispute relating to intellectual property rights)” are subject to “binding arbitration in Santa Clara County, California.”</w:t>
      </w:r>
    </w:p>
    <w:p w14:paraId="6775920F" w14:textId="77777777" w:rsidR="00CA0CF8" w:rsidRPr="00EF577A" w:rsidRDefault="00CA0CF8" w:rsidP="00CA0CF8">
      <w:pPr>
        <w:widowControl w:val="0"/>
        <w:autoSpaceDE w:val="0"/>
        <w:autoSpaceDN w:val="0"/>
        <w:adjustRightInd w:val="0"/>
        <w:rPr>
          <w:color w:val="000000" w:themeColor="text1"/>
          <w:szCs w:val="22"/>
        </w:rPr>
      </w:pPr>
    </w:p>
    <w:p w14:paraId="247147A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 . Each of these plaintiffs allegedly arrived at a Netscape webpage captioned “</w:t>
      </w:r>
      <w:proofErr w:type="spellStart"/>
      <w:r w:rsidRPr="00EF577A">
        <w:rPr>
          <w:color w:val="000000" w:themeColor="text1"/>
          <w:szCs w:val="22"/>
        </w:rPr>
        <w:t>SmartDownload</w:t>
      </w:r>
      <w:proofErr w:type="spellEnd"/>
      <w:r w:rsidRPr="00EF577A">
        <w:rPr>
          <w:color w:val="000000" w:themeColor="text1"/>
          <w:szCs w:val="22"/>
        </w:rPr>
        <w:t xml:space="preserve"> Communicator” that urged them to “Download </w:t>
      </w:r>
      <w:proofErr w:type="gramStart"/>
      <w:r w:rsidRPr="00EF577A">
        <w:rPr>
          <w:color w:val="000000" w:themeColor="text1"/>
          <w:szCs w:val="22"/>
        </w:rPr>
        <w:t>With</w:t>
      </w:r>
      <w:proofErr w:type="gramEnd"/>
      <w:r w:rsidRPr="00EF577A">
        <w:rPr>
          <w:color w:val="000000" w:themeColor="text1"/>
          <w:szCs w:val="22"/>
        </w:rPr>
        <w:t xml:space="preserve"> Confidence Using </w:t>
      </w:r>
      <w:proofErr w:type="spellStart"/>
      <w:r w:rsidRPr="00EF577A">
        <w:rPr>
          <w:color w:val="000000" w:themeColor="text1"/>
          <w:szCs w:val="22"/>
        </w:rPr>
        <w:t>SmartDownload</w:t>
      </w:r>
      <w:proofErr w:type="spellEnd"/>
      <w:r w:rsidRPr="00EF577A">
        <w:rPr>
          <w:color w:val="000000" w:themeColor="text1"/>
          <w:szCs w:val="22"/>
        </w:rPr>
        <w:t xml:space="preserve">!” At or near the bottom of the screen facing plaintiffs was the prompt “Start Download” and a tinted button labeled “Download.” By clicking on the button, plaintiffs initiated the download of </w:t>
      </w:r>
      <w:proofErr w:type="spellStart"/>
      <w:r w:rsidRPr="00EF577A">
        <w:rPr>
          <w:color w:val="000000" w:themeColor="text1"/>
          <w:szCs w:val="22"/>
        </w:rPr>
        <w:t>SmartDownload</w:t>
      </w:r>
      <w:proofErr w:type="spellEnd"/>
      <w:r w:rsidRPr="00EF577A">
        <w:rPr>
          <w:color w:val="000000" w:themeColor="text1"/>
          <w:szCs w:val="22"/>
        </w:rPr>
        <w:t xml:space="preserve">. Once that process was complete, </w:t>
      </w:r>
      <w:proofErr w:type="spellStart"/>
      <w:r w:rsidRPr="00EF577A">
        <w:rPr>
          <w:color w:val="000000" w:themeColor="text1"/>
          <w:szCs w:val="22"/>
        </w:rPr>
        <w:t>SmartDownload</w:t>
      </w:r>
      <w:proofErr w:type="spellEnd"/>
      <w:r w:rsidRPr="00EF577A">
        <w:rPr>
          <w:color w:val="000000" w:themeColor="text1"/>
          <w:szCs w:val="22"/>
        </w:rPr>
        <w:t>, as its first plug-in task, permitted plaintiffs to proceed with downloading and installing Communicator, an operation that was accompanied by the clickwrap display of Communicator's license terms described above.</w:t>
      </w:r>
    </w:p>
    <w:p w14:paraId="28D5C0D5" w14:textId="77777777" w:rsidR="00CA0CF8" w:rsidRPr="00EF577A" w:rsidRDefault="00CA0CF8" w:rsidP="00CA0CF8">
      <w:pPr>
        <w:widowControl w:val="0"/>
        <w:autoSpaceDE w:val="0"/>
        <w:autoSpaceDN w:val="0"/>
        <w:adjustRightInd w:val="0"/>
        <w:rPr>
          <w:color w:val="000000" w:themeColor="text1"/>
          <w:szCs w:val="22"/>
        </w:rPr>
      </w:pPr>
    </w:p>
    <w:p w14:paraId="2B5380F3"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 .</w:t>
      </w:r>
    </w:p>
    <w:p w14:paraId="3D86AE63" w14:textId="77777777" w:rsidR="00CA0CF8" w:rsidRPr="00EF577A" w:rsidRDefault="00CA0CF8" w:rsidP="00CA0CF8">
      <w:pPr>
        <w:widowControl w:val="0"/>
        <w:autoSpaceDE w:val="0"/>
        <w:autoSpaceDN w:val="0"/>
        <w:adjustRightInd w:val="0"/>
        <w:rPr>
          <w:color w:val="000000" w:themeColor="text1"/>
          <w:szCs w:val="22"/>
        </w:rPr>
      </w:pPr>
    </w:p>
    <w:p w14:paraId="72DCEA1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Had plaintiffs scrolled down instead of acting on defendants' invitation to click on the “Download” button, they would have encountered the following invitation: “Please review </w:t>
      </w:r>
      <w:r w:rsidRPr="00EF577A">
        <w:rPr>
          <w:color w:val="000000" w:themeColor="text1"/>
          <w:szCs w:val="22"/>
        </w:rPr>
        <w:lastRenderedPageBreak/>
        <w:t xml:space="preserve">and agree to the terms of the </w:t>
      </w:r>
      <w:r w:rsidRPr="00EF577A">
        <w:rPr>
          <w:i/>
          <w:iCs/>
          <w:color w:val="000000" w:themeColor="text1"/>
          <w:szCs w:val="22"/>
        </w:rPr>
        <w:t xml:space="preserve">Netscape </w:t>
      </w:r>
      <w:proofErr w:type="spellStart"/>
      <w:r w:rsidRPr="00EF577A">
        <w:rPr>
          <w:i/>
          <w:iCs/>
          <w:color w:val="000000" w:themeColor="text1"/>
          <w:szCs w:val="22"/>
        </w:rPr>
        <w:t>SmartDownload</w:t>
      </w:r>
      <w:proofErr w:type="spellEnd"/>
      <w:r w:rsidRPr="00EF577A">
        <w:rPr>
          <w:i/>
          <w:iCs/>
          <w:color w:val="000000" w:themeColor="text1"/>
          <w:szCs w:val="22"/>
        </w:rPr>
        <w:t xml:space="preserve"> software license agreement</w:t>
      </w:r>
      <w:r w:rsidRPr="00EF577A">
        <w:rPr>
          <w:color w:val="000000" w:themeColor="text1"/>
          <w:szCs w:val="22"/>
        </w:rPr>
        <w:t xml:space="preserve"> before downloading and using the software.” </w:t>
      </w:r>
    </w:p>
    <w:p w14:paraId="200CBA23" w14:textId="77777777" w:rsidR="00CA0CF8" w:rsidRPr="00EF577A" w:rsidRDefault="00CA0CF8" w:rsidP="00CA0CF8">
      <w:pPr>
        <w:widowControl w:val="0"/>
        <w:autoSpaceDE w:val="0"/>
        <w:autoSpaceDN w:val="0"/>
        <w:adjustRightInd w:val="0"/>
        <w:rPr>
          <w:color w:val="000000" w:themeColor="text1"/>
          <w:szCs w:val="22"/>
        </w:rPr>
      </w:pPr>
    </w:p>
    <w:p w14:paraId="234DA576"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 . . </w:t>
      </w:r>
    </w:p>
    <w:p w14:paraId="74D1640D" w14:textId="77777777" w:rsidR="00CA0CF8" w:rsidRPr="00EF577A" w:rsidRDefault="00CA0CF8" w:rsidP="00CA0CF8">
      <w:pPr>
        <w:widowControl w:val="0"/>
        <w:autoSpaceDE w:val="0"/>
        <w:autoSpaceDN w:val="0"/>
        <w:adjustRightInd w:val="0"/>
        <w:rPr>
          <w:color w:val="000000" w:themeColor="text1"/>
          <w:szCs w:val="22"/>
        </w:rPr>
      </w:pPr>
    </w:p>
    <w:p w14:paraId="1FF82BC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Even for a user who, unlike plaintiffs, did happen to scroll down past the download button, </w:t>
      </w:r>
      <w:proofErr w:type="spellStart"/>
      <w:r w:rsidRPr="00EF577A">
        <w:rPr>
          <w:color w:val="000000" w:themeColor="text1"/>
          <w:szCs w:val="22"/>
        </w:rPr>
        <w:t>SmartDownload's</w:t>
      </w:r>
      <w:proofErr w:type="spellEnd"/>
      <w:r w:rsidRPr="00EF577A">
        <w:rPr>
          <w:color w:val="000000" w:themeColor="text1"/>
          <w:szCs w:val="22"/>
        </w:rPr>
        <w:t xml:space="preserve"> license terms would not have been immediately </w:t>
      </w:r>
      <w:proofErr w:type="gramStart"/>
      <w:r w:rsidRPr="00EF577A">
        <w:rPr>
          <w:color w:val="000000" w:themeColor="text1"/>
          <w:szCs w:val="22"/>
        </w:rPr>
        <w:t>displayed  . . .</w:t>
      </w:r>
      <w:proofErr w:type="gramEnd"/>
      <w:r w:rsidRPr="00EF577A">
        <w:rPr>
          <w:color w:val="000000" w:themeColor="text1"/>
          <w:szCs w:val="22"/>
        </w:rPr>
        <w:t xml:space="preserve"> Instead, if such a user had seen the notice of </w:t>
      </w:r>
      <w:proofErr w:type="spellStart"/>
      <w:r w:rsidRPr="00EF577A">
        <w:rPr>
          <w:color w:val="000000" w:themeColor="text1"/>
          <w:szCs w:val="22"/>
        </w:rPr>
        <w:t>SmartDownload's</w:t>
      </w:r>
      <w:proofErr w:type="spellEnd"/>
      <w:r w:rsidRPr="00EF577A">
        <w:rPr>
          <w:color w:val="000000" w:themeColor="text1"/>
          <w:szCs w:val="22"/>
        </w:rPr>
        <w:t xml:space="preserve"> terms and then clicked on the underlined invitation to review and agree to the terms, a hypertext link would have taken the user to a separate webpage entitled “License &amp; Support Agreements.” The first paragraph on this page read, in pertinent part:</w:t>
      </w:r>
    </w:p>
    <w:p w14:paraId="0EB532AA" w14:textId="77777777" w:rsidR="00CA0CF8" w:rsidRPr="00EF577A" w:rsidRDefault="00CA0CF8" w:rsidP="00CA0CF8">
      <w:pPr>
        <w:widowControl w:val="0"/>
        <w:autoSpaceDE w:val="0"/>
        <w:autoSpaceDN w:val="0"/>
        <w:adjustRightInd w:val="0"/>
        <w:rPr>
          <w:color w:val="000000" w:themeColor="text1"/>
          <w:szCs w:val="22"/>
        </w:rPr>
      </w:pPr>
    </w:p>
    <w:p w14:paraId="58655968"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The use of each Netscape software product is governed by a license agreement. You must read and agree to the license agreement terms BEFORE acquiring a product. Please click on the appropriate link below to review the current license agreement for the product of interest to you before acquisition. For products available for download, you must read and agree to the license agreement terms BEFORE you install the software. If you do not agree to the license terms, do not download, install or use the software.</w:t>
      </w:r>
    </w:p>
    <w:p w14:paraId="4323C6B8" w14:textId="77777777" w:rsidR="00CA0CF8" w:rsidRPr="00EF577A" w:rsidRDefault="00CA0CF8" w:rsidP="00CA0CF8">
      <w:pPr>
        <w:widowControl w:val="0"/>
        <w:autoSpaceDE w:val="0"/>
        <w:autoSpaceDN w:val="0"/>
        <w:adjustRightInd w:val="0"/>
        <w:rPr>
          <w:color w:val="000000" w:themeColor="text1"/>
          <w:szCs w:val="22"/>
        </w:rPr>
      </w:pPr>
    </w:p>
    <w:p w14:paraId="4E8B55D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Below this paragraph appeared a list of license agreements, the first of which was “</w:t>
      </w:r>
      <w:r w:rsidRPr="00EF577A">
        <w:rPr>
          <w:i/>
          <w:iCs/>
          <w:color w:val="000000" w:themeColor="text1"/>
          <w:szCs w:val="22"/>
        </w:rPr>
        <w:t>License Agreement for Netscape Navigator and Netscape Communicator Product Family</w:t>
      </w:r>
      <w:r w:rsidRPr="00EF577A">
        <w:rPr>
          <w:color w:val="000000" w:themeColor="text1"/>
          <w:szCs w:val="22"/>
        </w:rPr>
        <w:t xml:space="preserve"> (Netscape Navigator, Netscape Communicator and Netscape </w:t>
      </w:r>
      <w:proofErr w:type="spellStart"/>
      <w:r w:rsidRPr="00EF577A">
        <w:rPr>
          <w:color w:val="000000" w:themeColor="text1"/>
          <w:szCs w:val="22"/>
        </w:rPr>
        <w:t>SmartDownload</w:t>
      </w:r>
      <w:proofErr w:type="spellEnd"/>
      <w:r w:rsidRPr="00EF577A">
        <w:rPr>
          <w:color w:val="000000" w:themeColor="text1"/>
          <w:szCs w:val="22"/>
        </w:rPr>
        <w:t xml:space="preserve">).” If the user clicked on that link, he or she would be taken to yet another webpage that contained the full text of a license agreement that was identical in every respect to the Communicator license agreement except that it stated that its “terms apply to Netscape Communicator, Netscape Navigator, and Netscape </w:t>
      </w:r>
      <w:proofErr w:type="spellStart"/>
      <w:r w:rsidRPr="00EF577A">
        <w:rPr>
          <w:color w:val="000000" w:themeColor="text1"/>
          <w:szCs w:val="22"/>
        </w:rPr>
        <w:t>SmartDownload</w:t>
      </w:r>
      <w:proofErr w:type="spellEnd"/>
      <w:r w:rsidRPr="00EF577A">
        <w:rPr>
          <w:color w:val="000000" w:themeColor="text1"/>
          <w:szCs w:val="22"/>
        </w:rPr>
        <w:t>.” The license agreement granted the user a nonexclusive license to use and reproduce the software, subject to certain terms:</w:t>
      </w:r>
    </w:p>
    <w:p w14:paraId="5267E5A7" w14:textId="77777777" w:rsidR="00CA0CF8" w:rsidRPr="00EF577A" w:rsidRDefault="00CA0CF8" w:rsidP="00CA0CF8">
      <w:pPr>
        <w:widowControl w:val="0"/>
        <w:autoSpaceDE w:val="0"/>
        <w:autoSpaceDN w:val="0"/>
        <w:adjustRightInd w:val="0"/>
        <w:rPr>
          <w:color w:val="000000" w:themeColor="text1"/>
          <w:szCs w:val="22"/>
        </w:rPr>
      </w:pPr>
    </w:p>
    <w:p w14:paraId="76E2106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BY CLICKING THE ACCEPTANCE BUTTON OR INSTALLING OR USING NETSCAPE COMMUNICATOR, NETSCAPE NAVIGATOR, OR NETSCAPE SMARTDOWNLOAD SOFTWARE (THE “PRODUCT”), THE INDIVIDUAL OR ENTITY LICENSING THE PRODUCT (“LICENSEE”) IS CONSENTING TO BE BOUND BY AND IS BECOMING A PARTY TO THIS AGREEMENT. IF LICENSEE DOES NOT AGREE TO ALL OF THE TERMS OF THIS AGREEMENT, THE BUTTON INDICATING NON-ACCEPTANCE MUST BE SELECTED, AND LICENSEE MUST NOT INSTALL OR USE THE SOFTWARE.</w:t>
      </w:r>
    </w:p>
    <w:p w14:paraId="599B5BD6" w14:textId="77777777" w:rsidR="00CA0CF8" w:rsidRPr="00EF577A" w:rsidRDefault="00CA0CF8" w:rsidP="00CA0CF8">
      <w:pPr>
        <w:widowControl w:val="0"/>
        <w:autoSpaceDE w:val="0"/>
        <w:autoSpaceDN w:val="0"/>
        <w:adjustRightInd w:val="0"/>
        <w:rPr>
          <w:color w:val="000000" w:themeColor="text1"/>
          <w:szCs w:val="22"/>
        </w:rPr>
      </w:pPr>
    </w:p>
    <w:p w14:paraId="381F11A9"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Among the license terms was a provision requiring virtually all disputes relating to the agreement to be submitted to arbitration:</w:t>
      </w:r>
    </w:p>
    <w:p w14:paraId="1AF54FF9" w14:textId="77777777" w:rsidR="00CA0CF8" w:rsidRPr="00EF577A" w:rsidRDefault="00CA0CF8" w:rsidP="00CA0CF8">
      <w:pPr>
        <w:widowControl w:val="0"/>
        <w:autoSpaceDE w:val="0"/>
        <w:autoSpaceDN w:val="0"/>
        <w:adjustRightInd w:val="0"/>
        <w:rPr>
          <w:color w:val="000000" w:themeColor="text1"/>
          <w:szCs w:val="22"/>
        </w:rPr>
      </w:pPr>
    </w:p>
    <w:p w14:paraId="5009B33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Unless otherwise agreed in writing, all disputes relating to this Agreement (excepting any dispute relating to intellectual property rights) shall be subject to final and binding arbitration in Santa Clara County, California, under the auspices of JAMS/</w:t>
      </w:r>
      <w:proofErr w:type="spellStart"/>
      <w:r w:rsidRPr="00EF577A">
        <w:rPr>
          <w:color w:val="000000" w:themeColor="text1"/>
          <w:szCs w:val="22"/>
        </w:rPr>
        <w:t>EndDispute</w:t>
      </w:r>
      <w:proofErr w:type="spellEnd"/>
      <w:r w:rsidRPr="00EF577A">
        <w:rPr>
          <w:color w:val="000000" w:themeColor="text1"/>
          <w:szCs w:val="22"/>
        </w:rPr>
        <w:t>, with the losing party paying all costs of arbitration.</w:t>
      </w:r>
    </w:p>
    <w:p w14:paraId="1F2C06F7" w14:textId="77777777" w:rsidR="00CA0CF8" w:rsidRPr="00EF577A" w:rsidRDefault="00CA0CF8" w:rsidP="00CA0CF8">
      <w:pPr>
        <w:widowControl w:val="0"/>
        <w:autoSpaceDE w:val="0"/>
        <w:autoSpaceDN w:val="0"/>
        <w:adjustRightInd w:val="0"/>
        <w:rPr>
          <w:color w:val="000000" w:themeColor="text1"/>
          <w:szCs w:val="22"/>
        </w:rPr>
      </w:pPr>
    </w:p>
    <w:p w14:paraId="7713F2F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 . . </w:t>
      </w:r>
    </w:p>
    <w:p w14:paraId="535DDC21" w14:textId="77777777" w:rsidR="00CA0CF8" w:rsidRPr="00EF577A" w:rsidRDefault="00CA0CF8" w:rsidP="00CA0CF8">
      <w:pPr>
        <w:widowControl w:val="0"/>
        <w:autoSpaceDE w:val="0"/>
        <w:autoSpaceDN w:val="0"/>
        <w:adjustRightInd w:val="0"/>
        <w:rPr>
          <w:color w:val="000000" w:themeColor="text1"/>
          <w:szCs w:val="22"/>
        </w:rPr>
      </w:pPr>
    </w:p>
    <w:p w14:paraId="52D2C085" w14:textId="77777777" w:rsidR="00CA0CF8" w:rsidRPr="00EF577A" w:rsidRDefault="00CA0CF8" w:rsidP="00CA0CF8">
      <w:pPr>
        <w:widowControl w:val="0"/>
        <w:autoSpaceDE w:val="0"/>
        <w:autoSpaceDN w:val="0"/>
        <w:adjustRightInd w:val="0"/>
        <w:rPr>
          <w:color w:val="000000" w:themeColor="text1"/>
          <w:szCs w:val="22"/>
        </w:rPr>
      </w:pPr>
      <w:r w:rsidRPr="00EF577A">
        <w:rPr>
          <w:b/>
          <w:color w:val="000000" w:themeColor="text1"/>
          <w:szCs w:val="22"/>
        </w:rPr>
        <w:t>DISCUSSION</w:t>
      </w:r>
    </w:p>
    <w:p w14:paraId="7A3082AF" w14:textId="77777777" w:rsidR="00CA0CF8" w:rsidRPr="00EF577A" w:rsidRDefault="00CA0CF8" w:rsidP="00CA0CF8">
      <w:pPr>
        <w:widowControl w:val="0"/>
        <w:autoSpaceDE w:val="0"/>
        <w:autoSpaceDN w:val="0"/>
        <w:adjustRightInd w:val="0"/>
        <w:rPr>
          <w:b/>
          <w:bCs/>
          <w:color w:val="000000" w:themeColor="text1"/>
          <w:szCs w:val="22"/>
        </w:rPr>
      </w:pPr>
    </w:p>
    <w:p w14:paraId="321261A5" w14:textId="77777777" w:rsidR="00CA0CF8" w:rsidRPr="00EF577A" w:rsidRDefault="00CA0CF8" w:rsidP="00CA0CF8">
      <w:pPr>
        <w:widowControl w:val="0"/>
        <w:autoSpaceDE w:val="0"/>
        <w:autoSpaceDN w:val="0"/>
        <w:adjustRightInd w:val="0"/>
        <w:rPr>
          <w:bCs/>
          <w:color w:val="000000" w:themeColor="text1"/>
          <w:szCs w:val="22"/>
        </w:rPr>
      </w:pPr>
      <w:r w:rsidRPr="00EF577A">
        <w:rPr>
          <w:color w:val="000000" w:themeColor="text1"/>
          <w:szCs w:val="22"/>
        </w:rPr>
        <w:t>. . .</w:t>
      </w:r>
    </w:p>
    <w:p w14:paraId="0638CA57" w14:textId="77777777" w:rsidR="00CA0CF8" w:rsidRPr="00EF577A" w:rsidRDefault="00CA0CF8" w:rsidP="00CA0CF8">
      <w:pPr>
        <w:widowControl w:val="0"/>
        <w:autoSpaceDE w:val="0"/>
        <w:autoSpaceDN w:val="0"/>
        <w:adjustRightInd w:val="0"/>
        <w:rPr>
          <w:b/>
          <w:bCs/>
          <w:color w:val="000000" w:themeColor="text1"/>
          <w:szCs w:val="22"/>
        </w:rPr>
      </w:pPr>
    </w:p>
    <w:p w14:paraId="4BB72573" w14:textId="77777777" w:rsidR="00CA0CF8" w:rsidRPr="00EF577A" w:rsidRDefault="00CA0CF8" w:rsidP="00CA0CF8">
      <w:pPr>
        <w:widowControl w:val="0"/>
        <w:autoSpaceDE w:val="0"/>
        <w:autoSpaceDN w:val="0"/>
        <w:adjustRightInd w:val="0"/>
        <w:rPr>
          <w:color w:val="000000" w:themeColor="text1"/>
          <w:szCs w:val="22"/>
        </w:rPr>
      </w:pPr>
    </w:p>
    <w:p w14:paraId="4C248F4F" w14:textId="77777777" w:rsidR="00CA0CF8" w:rsidRPr="00EF577A" w:rsidRDefault="00CA0CF8" w:rsidP="00CA0CF8">
      <w:pPr>
        <w:widowControl w:val="0"/>
        <w:autoSpaceDE w:val="0"/>
        <w:autoSpaceDN w:val="0"/>
        <w:adjustRightInd w:val="0"/>
        <w:rPr>
          <w:color w:val="000000" w:themeColor="text1"/>
          <w:szCs w:val="22"/>
        </w:rPr>
      </w:pPr>
      <w:r w:rsidRPr="00EF577A">
        <w:rPr>
          <w:b/>
          <w:color w:val="000000" w:themeColor="text1"/>
          <w:szCs w:val="22"/>
        </w:rPr>
        <w:t xml:space="preserve">III. Whether the User Plaintiffs Had Reasonable Notice of and Manifested Assent to the </w:t>
      </w:r>
      <w:proofErr w:type="spellStart"/>
      <w:r w:rsidRPr="00EF577A">
        <w:rPr>
          <w:b/>
          <w:color w:val="000000" w:themeColor="text1"/>
          <w:szCs w:val="22"/>
        </w:rPr>
        <w:t>SmartDownload</w:t>
      </w:r>
      <w:proofErr w:type="spellEnd"/>
      <w:r w:rsidRPr="00EF577A">
        <w:rPr>
          <w:b/>
          <w:color w:val="000000" w:themeColor="text1"/>
          <w:szCs w:val="22"/>
        </w:rPr>
        <w:t xml:space="preserve"> License Agreement</w:t>
      </w:r>
    </w:p>
    <w:p w14:paraId="319A9E12" w14:textId="77777777" w:rsidR="00CA0CF8" w:rsidRPr="00EF577A" w:rsidRDefault="00CA0CF8" w:rsidP="00CA0CF8">
      <w:pPr>
        <w:widowControl w:val="0"/>
        <w:autoSpaceDE w:val="0"/>
        <w:autoSpaceDN w:val="0"/>
        <w:adjustRightInd w:val="0"/>
        <w:rPr>
          <w:color w:val="000000" w:themeColor="text1"/>
          <w:szCs w:val="22"/>
        </w:rPr>
      </w:pPr>
    </w:p>
    <w:p w14:paraId="13AEE04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Whether governed by the common law or by Article 2 of the Uniform Commercial Code (“UCC”), a transaction, in order to be a contract, requires a manifestation of agreement between the parties. Mutual manifestation of assent, whether by written or spoken word or by conduct, is the touchstone of contract. Although an onlooker observing the disputed transactions in this case would have seen each of the user plaintiffs click on the </w:t>
      </w:r>
      <w:proofErr w:type="spellStart"/>
      <w:r w:rsidRPr="00EF577A">
        <w:rPr>
          <w:color w:val="000000" w:themeColor="text1"/>
          <w:szCs w:val="22"/>
        </w:rPr>
        <w:t>SmartDownload</w:t>
      </w:r>
      <w:proofErr w:type="spellEnd"/>
      <w:r w:rsidRPr="00EF577A">
        <w:rPr>
          <w:color w:val="000000" w:themeColor="text1"/>
          <w:szCs w:val="22"/>
        </w:rPr>
        <w:t xml:space="preserve"> “Download” button, a consumer's clicking on a download button does not communicate assent to contractual terms if the offer did not make clear to the consumer that clicking on the download button would signify assent</w:t>
      </w:r>
      <w:r w:rsidRPr="00EF577A">
        <w:rPr>
          <w:b/>
          <w:color w:val="000000" w:themeColor="text1"/>
          <w:szCs w:val="22"/>
        </w:rPr>
        <w:t xml:space="preserve"> </w:t>
      </w:r>
      <w:r w:rsidRPr="00EF577A">
        <w:rPr>
          <w:color w:val="000000" w:themeColor="text1"/>
          <w:szCs w:val="22"/>
        </w:rPr>
        <w:t xml:space="preserve">to those terms. California's common law is clear that “an offeree, regardless of apparent manifestation of his consent, is not bound by inconspicuous contractual provisions of which he is unaware, contained in a document whose contractual nature is not obvious.” </w:t>
      </w:r>
    </w:p>
    <w:p w14:paraId="36DDA435" w14:textId="77777777" w:rsidR="00CA0CF8" w:rsidRPr="00EF577A" w:rsidRDefault="00CA0CF8" w:rsidP="00CA0CF8">
      <w:pPr>
        <w:widowControl w:val="0"/>
        <w:autoSpaceDE w:val="0"/>
        <w:autoSpaceDN w:val="0"/>
        <w:adjustRightInd w:val="0"/>
        <w:rPr>
          <w:color w:val="000000" w:themeColor="text1"/>
          <w:szCs w:val="22"/>
        </w:rPr>
      </w:pPr>
    </w:p>
    <w:p w14:paraId="6FF15E7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 . Thus, California contract law measures assent by an objective standard that takes into account both what the offeree said, wrote, or did and the transactional context in which the offeree verbalized or acted.</w:t>
      </w:r>
    </w:p>
    <w:p w14:paraId="19C2EE6E" w14:textId="77777777" w:rsidR="00CA0CF8" w:rsidRPr="00EF577A" w:rsidRDefault="00CA0CF8" w:rsidP="00CA0CF8">
      <w:pPr>
        <w:widowControl w:val="0"/>
        <w:autoSpaceDE w:val="0"/>
        <w:autoSpaceDN w:val="0"/>
        <w:adjustRightInd w:val="0"/>
        <w:rPr>
          <w:color w:val="000000" w:themeColor="text1"/>
          <w:szCs w:val="22"/>
        </w:rPr>
      </w:pPr>
    </w:p>
    <w:p w14:paraId="66419FBD" w14:textId="77777777" w:rsidR="00CA0CF8" w:rsidRPr="00EF577A" w:rsidRDefault="00CA0CF8" w:rsidP="00CA0CF8">
      <w:pPr>
        <w:widowControl w:val="0"/>
        <w:autoSpaceDE w:val="0"/>
        <w:autoSpaceDN w:val="0"/>
        <w:adjustRightInd w:val="0"/>
        <w:rPr>
          <w:color w:val="000000" w:themeColor="text1"/>
          <w:szCs w:val="22"/>
        </w:rPr>
      </w:pPr>
      <w:r w:rsidRPr="00EF577A">
        <w:rPr>
          <w:b/>
          <w:color w:val="000000" w:themeColor="text1"/>
          <w:szCs w:val="22"/>
        </w:rPr>
        <w:t>A. The Reasonably Prudent Offeree of Downloadable Software</w:t>
      </w:r>
    </w:p>
    <w:p w14:paraId="7E9A152F" w14:textId="77777777" w:rsidR="00CA0CF8" w:rsidRPr="00EF577A" w:rsidRDefault="00CA0CF8" w:rsidP="00CA0CF8">
      <w:pPr>
        <w:widowControl w:val="0"/>
        <w:autoSpaceDE w:val="0"/>
        <w:autoSpaceDN w:val="0"/>
        <w:adjustRightInd w:val="0"/>
        <w:rPr>
          <w:color w:val="000000" w:themeColor="text1"/>
          <w:szCs w:val="22"/>
        </w:rPr>
      </w:pPr>
    </w:p>
    <w:p w14:paraId="782BB21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Defendants argue that plaintiffs must be held to a standard of reasonable prudence and that, because notice of the existence of </w:t>
      </w:r>
      <w:proofErr w:type="spellStart"/>
      <w:r w:rsidRPr="00EF577A">
        <w:rPr>
          <w:color w:val="000000" w:themeColor="text1"/>
          <w:szCs w:val="22"/>
        </w:rPr>
        <w:t>SmartDownload</w:t>
      </w:r>
      <w:proofErr w:type="spellEnd"/>
      <w:r w:rsidRPr="00EF577A">
        <w:rPr>
          <w:color w:val="000000" w:themeColor="text1"/>
          <w:szCs w:val="22"/>
        </w:rPr>
        <w:t xml:space="preserve"> license terms was on the next scrollable screen, plaintiffs were on “inquiry notice” of those terms. We disagree with the proposition that a reasonably prudent offeree in plaintiffs' position would necessarily have known or learned of the existence of the </w:t>
      </w:r>
      <w:proofErr w:type="spellStart"/>
      <w:r w:rsidRPr="00EF577A">
        <w:rPr>
          <w:color w:val="000000" w:themeColor="text1"/>
          <w:szCs w:val="22"/>
        </w:rPr>
        <w:t>SmartDownload</w:t>
      </w:r>
      <w:proofErr w:type="spellEnd"/>
      <w:r w:rsidRPr="00EF577A">
        <w:rPr>
          <w:color w:val="000000" w:themeColor="text1"/>
          <w:szCs w:val="22"/>
        </w:rPr>
        <w:t xml:space="preserve"> license agreement prior to acting, so that plaintiffs may be held to have assented to that agreement with constructive notice of its terms. It is true that “[a] party cannot avoid the terms of a contract on the ground that he or she failed to read it before signing.” </w:t>
      </w:r>
      <w:r w:rsidRPr="00EF577A">
        <w:rPr>
          <w:i/>
          <w:iCs/>
          <w:color w:val="000000" w:themeColor="text1"/>
          <w:szCs w:val="22"/>
        </w:rPr>
        <w:t>Marin Storage &amp; Trucking,</w:t>
      </w:r>
      <w:r w:rsidRPr="00EF577A">
        <w:rPr>
          <w:color w:val="000000" w:themeColor="text1"/>
          <w:szCs w:val="22"/>
        </w:rPr>
        <w:t xml:space="preserve"> 89 Cal.App.4th at 1049. But courts are quick to add: “An exception to this general rule exists when the writing does not appear to be a contract and the terms are not called to the attention of the recipient. In such a case, no contract is formed with respect to the undisclosed term.” </w:t>
      </w:r>
      <w:r w:rsidRPr="00EF577A">
        <w:rPr>
          <w:i/>
          <w:iCs/>
          <w:color w:val="000000" w:themeColor="text1"/>
          <w:szCs w:val="22"/>
        </w:rPr>
        <w:t>Id.</w:t>
      </w:r>
    </w:p>
    <w:p w14:paraId="3F5D2774" w14:textId="77777777" w:rsidR="00CA0CF8" w:rsidRPr="00EF577A" w:rsidRDefault="00CA0CF8" w:rsidP="00CA0CF8">
      <w:pPr>
        <w:widowControl w:val="0"/>
        <w:autoSpaceDE w:val="0"/>
        <w:autoSpaceDN w:val="0"/>
        <w:adjustRightInd w:val="0"/>
        <w:rPr>
          <w:color w:val="000000" w:themeColor="text1"/>
          <w:szCs w:val="22"/>
        </w:rPr>
      </w:pPr>
    </w:p>
    <w:p w14:paraId="73BF5F09"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Most of the cases cited by defendants in support of their inquiry-notice argument are drawn from the world of paper contracting . . .</w:t>
      </w:r>
    </w:p>
    <w:p w14:paraId="0FADCA91" w14:textId="77777777" w:rsidR="00CA0CF8" w:rsidRPr="00EF577A" w:rsidRDefault="00CA0CF8" w:rsidP="00CA0CF8">
      <w:pPr>
        <w:widowControl w:val="0"/>
        <w:autoSpaceDE w:val="0"/>
        <w:autoSpaceDN w:val="0"/>
        <w:adjustRightInd w:val="0"/>
        <w:rPr>
          <w:color w:val="000000" w:themeColor="text1"/>
          <w:szCs w:val="22"/>
        </w:rPr>
      </w:pPr>
    </w:p>
    <w:p w14:paraId="1940DE8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As the foregoing cases suggest, receipt of a physical document containing contract terms or notice thereof is frequently deemed, in the world of paper transactions, a sufficient circumstance to place the offeree on inquiry notice of those terms. “Every person who has actual notice of circumstances sufficient to put a prudent man upon inquiry as to a particular fact, has constructive notice of the fact itself in all cases in which, by prosecuting such inquiry, he might have learned such fact.” Cal. </w:t>
      </w:r>
      <w:proofErr w:type="spellStart"/>
      <w:r w:rsidRPr="00EF577A">
        <w:rPr>
          <w:color w:val="000000" w:themeColor="text1"/>
          <w:szCs w:val="22"/>
        </w:rPr>
        <w:t>Civ.Code</w:t>
      </w:r>
      <w:proofErr w:type="spellEnd"/>
      <w:r w:rsidRPr="00EF577A">
        <w:rPr>
          <w:color w:val="000000" w:themeColor="text1"/>
          <w:szCs w:val="22"/>
        </w:rPr>
        <w:t xml:space="preserve"> § 19. These principles apply </w:t>
      </w:r>
      <w:r w:rsidRPr="00EF577A">
        <w:rPr>
          <w:color w:val="000000" w:themeColor="text1"/>
          <w:szCs w:val="22"/>
        </w:rPr>
        <w:lastRenderedPageBreak/>
        <w:t xml:space="preserve">equally to the emergent world of online product delivery, pop-up screens, hyperlinked pages, clickwrap licensing, scrollable documents, and urgent admonitions to “Download Now!”. What plaintiffs saw when they were being invited by defendants to download this fast, free plug-in called </w:t>
      </w:r>
      <w:proofErr w:type="spellStart"/>
      <w:r w:rsidRPr="00EF577A">
        <w:rPr>
          <w:color w:val="000000" w:themeColor="text1"/>
          <w:szCs w:val="22"/>
        </w:rPr>
        <w:t>SmartDownload</w:t>
      </w:r>
      <w:proofErr w:type="spellEnd"/>
      <w:r w:rsidRPr="00EF577A">
        <w:rPr>
          <w:color w:val="000000" w:themeColor="text1"/>
          <w:szCs w:val="22"/>
        </w:rPr>
        <w:t xml:space="preserve"> was a screen containing praise for the product and, at the very bottom of the screen, a “Download” button. Defendants argue that under the principles set forth in the cases cited above, a “fair and prudent person using ordinary care” would have been on inquiry notice of </w:t>
      </w:r>
      <w:proofErr w:type="spellStart"/>
      <w:r w:rsidRPr="00EF577A">
        <w:rPr>
          <w:color w:val="000000" w:themeColor="text1"/>
          <w:szCs w:val="22"/>
        </w:rPr>
        <w:t>SmartDownload's</w:t>
      </w:r>
      <w:proofErr w:type="spellEnd"/>
      <w:r w:rsidRPr="00EF577A">
        <w:rPr>
          <w:color w:val="000000" w:themeColor="text1"/>
          <w:szCs w:val="22"/>
        </w:rPr>
        <w:t xml:space="preserve"> license terms. </w:t>
      </w:r>
    </w:p>
    <w:p w14:paraId="68A62102" w14:textId="77777777" w:rsidR="00CA0CF8" w:rsidRPr="00EF577A" w:rsidRDefault="00CA0CF8" w:rsidP="00CA0CF8">
      <w:pPr>
        <w:widowControl w:val="0"/>
        <w:autoSpaceDE w:val="0"/>
        <w:autoSpaceDN w:val="0"/>
        <w:adjustRightInd w:val="0"/>
        <w:rPr>
          <w:color w:val="000000" w:themeColor="text1"/>
          <w:szCs w:val="22"/>
        </w:rPr>
      </w:pPr>
    </w:p>
    <w:p w14:paraId="484D318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We are not persuaded that a reasonably prudent offeree in these circumstances would have known of the existence of license terms. Plaintiffs were responding to an offer that did not carry an immediately visible notice of the existence of license terms or require unambiguous manifestation of assent to those terms. . .  Moreover, the fact that, given the position of the scroll bar on their computer screens, plaintiffs may have been aware that an unexplored portion of the Netscape webpage remained below the download button does not mean that they reasonably should have concluded that this portion contained a notice of license terms. In their deposition testimony, plaintiffs variously stated that they used the scroll bar “[o]</w:t>
      </w:r>
      <w:proofErr w:type="spellStart"/>
      <w:r w:rsidRPr="00EF577A">
        <w:rPr>
          <w:color w:val="000000" w:themeColor="text1"/>
          <w:szCs w:val="22"/>
        </w:rPr>
        <w:t>nly</w:t>
      </w:r>
      <w:proofErr w:type="spellEnd"/>
      <w:r w:rsidRPr="00EF577A">
        <w:rPr>
          <w:color w:val="000000" w:themeColor="text1"/>
          <w:szCs w:val="22"/>
        </w:rPr>
        <w:t xml:space="preserve"> if there is something that I feel I need to see that is on-that is off the page,” or that the elevated position of the scroll bar suggested the presence of “</w:t>
      </w:r>
      <w:proofErr w:type="gramStart"/>
      <w:r w:rsidRPr="00EF577A">
        <w:rPr>
          <w:color w:val="000000" w:themeColor="text1"/>
          <w:szCs w:val="22"/>
        </w:rPr>
        <w:t>mere[</w:t>
      </w:r>
      <w:proofErr w:type="gramEnd"/>
      <w:r w:rsidRPr="00EF577A">
        <w:rPr>
          <w:color w:val="000000" w:themeColor="text1"/>
          <w:szCs w:val="22"/>
        </w:rPr>
        <w:t xml:space="preserve"> ] formalities, standard lower banner links” or “that the page is bigger than what I can see.” Plaintiffs testified, and defendants did not refute, that plaintiffs were in fact unaware that defendants intended to attach license terms to the use of </w:t>
      </w:r>
      <w:proofErr w:type="spellStart"/>
      <w:r w:rsidRPr="00EF577A">
        <w:rPr>
          <w:color w:val="000000" w:themeColor="text1"/>
          <w:szCs w:val="22"/>
        </w:rPr>
        <w:t>SmartDownload</w:t>
      </w:r>
      <w:proofErr w:type="spellEnd"/>
      <w:r w:rsidRPr="00EF577A">
        <w:rPr>
          <w:color w:val="000000" w:themeColor="text1"/>
          <w:szCs w:val="22"/>
        </w:rPr>
        <w:t>.</w:t>
      </w:r>
    </w:p>
    <w:p w14:paraId="5470EB4B" w14:textId="77777777" w:rsidR="00CA0CF8" w:rsidRPr="00EF577A" w:rsidRDefault="00CA0CF8" w:rsidP="00CA0CF8">
      <w:pPr>
        <w:widowControl w:val="0"/>
        <w:autoSpaceDE w:val="0"/>
        <w:autoSpaceDN w:val="0"/>
        <w:adjustRightInd w:val="0"/>
        <w:rPr>
          <w:color w:val="000000" w:themeColor="text1"/>
          <w:szCs w:val="22"/>
        </w:rPr>
      </w:pPr>
    </w:p>
    <w:p w14:paraId="0AFF7663"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We conclude that in circumstances such as these, where consumers are urged to download free software at the immediate click of a button, a reference to the existence of license terms on a submerged screen is not sufficient to place consumers on inquiry or constructive notice of those terms. The </w:t>
      </w:r>
      <w:proofErr w:type="spellStart"/>
      <w:r w:rsidRPr="00EF577A">
        <w:rPr>
          <w:color w:val="000000" w:themeColor="text1"/>
          <w:szCs w:val="22"/>
        </w:rPr>
        <w:t>SmartDownload</w:t>
      </w:r>
      <w:proofErr w:type="spellEnd"/>
      <w:r w:rsidRPr="00EF577A">
        <w:rPr>
          <w:color w:val="000000" w:themeColor="text1"/>
          <w:szCs w:val="22"/>
        </w:rPr>
        <w:t xml:space="preserve"> webpage screen was “printed in such a manner that it tended to conceal the fact that it was an express acceptance of [Netscape's] rules and regulations.” </w:t>
      </w:r>
      <w:proofErr w:type="spellStart"/>
      <w:r w:rsidRPr="00EF577A">
        <w:rPr>
          <w:i/>
          <w:iCs/>
          <w:color w:val="000000" w:themeColor="text1"/>
          <w:szCs w:val="22"/>
        </w:rPr>
        <w:t>Larrus</w:t>
      </w:r>
      <w:proofErr w:type="spellEnd"/>
      <w:r w:rsidRPr="00EF577A">
        <w:rPr>
          <w:i/>
          <w:iCs/>
          <w:color w:val="000000" w:themeColor="text1"/>
          <w:szCs w:val="22"/>
        </w:rPr>
        <w:t>,</w:t>
      </w:r>
      <w:r w:rsidRPr="00EF577A">
        <w:rPr>
          <w:color w:val="000000" w:themeColor="text1"/>
          <w:szCs w:val="22"/>
        </w:rPr>
        <w:t xml:space="preserve"> 266 P.2d at 147. Internet users may have, as defendants put it, “as much time as they </w:t>
      </w:r>
      <w:proofErr w:type="gramStart"/>
      <w:r w:rsidRPr="00EF577A">
        <w:rPr>
          <w:color w:val="000000" w:themeColor="text1"/>
          <w:szCs w:val="22"/>
        </w:rPr>
        <w:t>need[</w:t>
      </w:r>
      <w:proofErr w:type="gramEnd"/>
      <w:r w:rsidRPr="00EF577A">
        <w:rPr>
          <w:color w:val="000000" w:themeColor="text1"/>
          <w:szCs w:val="22"/>
        </w:rPr>
        <w:t xml:space="preserve"> ]” to scroll through multiple screens on a webpage, but there is no reason to assume that viewers will scroll down to subsequent screens simply because screens are there. When products are “free” and users are invited to download them in the absence of reasonably conspicuous notice that they are about to bind themselves to contract terms, the transactional circumstances cannot be fully analogized to those in the paper world of arm's-length bargaining. In the next two sections, we discuss case law and other legal authorities that have addressed the circumstances of computer sales, software licensing, and online transacting. Those authorities tend strongly to support our conclusion that plaintiffs did not manifest assent to </w:t>
      </w:r>
      <w:proofErr w:type="spellStart"/>
      <w:r w:rsidRPr="00EF577A">
        <w:rPr>
          <w:color w:val="000000" w:themeColor="text1"/>
          <w:szCs w:val="22"/>
        </w:rPr>
        <w:t>SmartDownload's</w:t>
      </w:r>
      <w:proofErr w:type="spellEnd"/>
      <w:r w:rsidRPr="00EF577A">
        <w:rPr>
          <w:color w:val="000000" w:themeColor="text1"/>
          <w:szCs w:val="22"/>
        </w:rPr>
        <w:t xml:space="preserve"> license terms.</w:t>
      </w:r>
    </w:p>
    <w:p w14:paraId="056D7B27" w14:textId="77777777" w:rsidR="00CA0CF8" w:rsidRPr="00EF577A" w:rsidRDefault="00CA0CF8" w:rsidP="00CA0CF8">
      <w:pPr>
        <w:widowControl w:val="0"/>
        <w:autoSpaceDE w:val="0"/>
        <w:autoSpaceDN w:val="0"/>
        <w:adjustRightInd w:val="0"/>
        <w:rPr>
          <w:color w:val="000000" w:themeColor="text1"/>
          <w:szCs w:val="22"/>
        </w:rPr>
      </w:pPr>
    </w:p>
    <w:p w14:paraId="541A29B6" w14:textId="77777777" w:rsidR="00CA0CF8" w:rsidRPr="00EF577A" w:rsidRDefault="00CA0CF8" w:rsidP="00CA0CF8">
      <w:pPr>
        <w:widowControl w:val="0"/>
        <w:autoSpaceDE w:val="0"/>
        <w:autoSpaceDN w:val="0"/>
        <w:adjustRightInd w:val="0"/>
        <w:rPr>
          <w:color w:val="000000" w:themeColor="text1"/>
          <w:szCs w:val="22"/>
        </w:rPr>
      </w:pPr>
    </w:p>
    <w:p w14:paraId="0ABEFAD8" w14:textId="77777777" w:rsidR="00CA0CF8" w:rsidRPr="00EF577A" w:rsidRDefault="00CA0CF8" w:rsidP="00CA0CF8">
      <w:pPr>
        <w:widowControl w:val="0"/>
        <w:autoSpaceDE w:val="0"/>
        <w:autoSpaceDN w:val="0"/>
        <w:adjustRightInd w:val="0"/>
        <w:rPr>
          <w:color w:val="000000" w:themeColor="text1"/>
          <w:szCs w:val="22"/>
        </w:rPr>
      </w:pPr>
      <w:r w:rsidRPr="00EF577A">
        <w:rPr>
          <w:b/>
          <w:color w:val="000000" w:themeColor="text1"/>
          <w:szCs w:val="22"/>
        </w:rPr>
        <w:t xml:space="preserve">B. </w:t>
      </w:r>
      <w:proofErr w:type="spellStart"/>
      <w:r w:rsidRPr="00EF577A">
        <w:rPr>
          <w:b/>
          <w:color w:val="000000" w:themeColor="text1"/>
          <w:szCs w:val="22"/>
        </w:rPr>
        <w:t>Shrinkwrap</w:t>
      </w:r>
      <w:proofErr w:type="spellEnd"/>
      <w:r w:rsidRPr="00EF577A">
        <w:rPr>
          <w:b/>
          <w:color w:val="000000" w:themeColor="text1"/>
          <w:szCs w:val="22"/>
        </w:rPr>
        <w:t xml:space="preserve"> Licensing and Related Practices</w:t>
      </w:r>
    </w:p>
    <w:p w14:paraId="5BA9EE22" w14:textId="77777777" w:rsidR="00CA0CF8" w:rsidRPr="00EF577A" w:rsidRDefault="00CA0CF8" w:rsidP="00CA0CF8">
      <w:pPr>
        <w:widowControl w:val="0"/>
        <w:autoSpaceDE w:val="0"/>
        <w:autoSpaceDN w:val="0"/>
        <w:adjustRightInd w:val="0"/>
        <w:rPr>
          <w:color w:val="000000" w:themeColor="text1"/>
          <w:szCs w:val="22"/>
        </w:rPr>
      </w:pPr>
    </w:p>
    <w:p w14:paraId="21217B0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Defendants cite certain well-known cases involving </w:t>
      </w:r>
      <w:proofErr w:type="spellStart"/>
      <w:r w:rsidRPr="00EF577A">
        <w:rPr>
          <w:color w:val="000000" w:themeColor="text1"/>
          <w:szCs w:val="22"/>
        </w:rPr>
        <w:t>shrinkwrap</w:t>
      </w:r>
      <w:proofErr w:type="spellEnd"/>
      <w:r w:rsidRPr="00EF577A">
        <w:rPr>
          <w:color w:val="000000" w:themeColor="text1"/>
          <w:szCs w:val="22"/>
        </w:rPr>
        <w:t xml:space="preserve"> licensing and related commercial practices in support of their contention that plaintiffs became bound by the </w:t>
      </w:r>
      <w:proofErr w:type="spellStart"/>
      <w:r w:rsidRPr="00EF577A">
        <w:rPr>
          <w:color w:val="000000" w:themeColor="text1"/>
          <w:szCs w:val="22"/>
        </w:rPr>
        <w:t>SmartDownload</w:t>
      </w:r>
      <w:proofErr w:type="spellEnd"/>
      <w:r w:rsidRPr="00EF577A">
        <w:rPr>
          <w:color w:val="000000" w:themeColor="text1"/>
          <w:szCs w:val="22"/>
        </w:rPr>
        <w:t xml:space="preserve"> license terms by virtue of inquiry notice. For example, in </w:t>
      </w:r>
      <w:r w:rsidRPr="00EF577A">
        <w:rPr>
          <w:i/>
          <w:iCs/>
          <w:color w:val="000000" w:themeColor="text1"/>
          <w:szCs w:val="22"/>
        </w:rPr>
        <w:t>Hill v. Gateway 2000, Inc.,</w:t>
      </w:r>
      <w:r w:rsidRPr="00EF577A">
        <w:rPr>
          <w:color w:val="000000" w:themeColor="text1"/>
          <w:szCs w:val="22"/>
        </w:rPr>
        <w:t xml:space="preserve"> 105 F.3d 1147 (7th Cir.1997), the Seventh Circuit held that where a purchaser had ordered a computer over the telephone, received the order in a shipped box </w:t>
      </w:r>
      <w:r w:rsidRPr="00EF577A">
        <w:rPr>
          <w:color w:val="000000" w:themeColor="text1"/>
          <w:szCs w:val="22"/>
        </w:rPr>
        <w:lastRenderedPageBreak/>
        <w:t xml:space="preserve">containing the computer along with printed contract terms, and did not return the computer within the thirty days required by the terms, the purchaser was bound by the contract. </w:t>
      </w:r>
      <w:r w:rsidRPr="00EF577A">
        <w:rPr>
          <w:i/>
          <w:iCs/>
          <w:color w:val="000000" w:themeColor="text1"/>
          <w:szCs w:val="22"/>
        </w:rPr>
        <w:t>Id.</w:t>
      </w:r>
      <w:r w:rsidRPr="00EF577A">
        <w:rPr>
          <w:color w:val="000000" w:themeColor="text1"/>
          <w:szCs w:val="22"/>
        </w:rPr>
        <w:t xml:space="preserve"> at 1148-49. In </w:t>
      </w:r>
      <w:proofErr w:type="spellStart"/>
      <w:r w:rsidRPr="00EF577A">
        <w:rPr>
          <w:i/>
          <w:iCs/>
          <w:color w:val="000000" w:themeColor="text1"/>
          <w:szCs w:val="22"/>
        </w:rPr>
        <w:t>ProCD</w:t>
      </w:r>
      <w:proofErr w:type="spellEnd"/>
      <w:r w:rsidRPr="00EF577A">
        <w:rPr>
          <w:i/>
          <w:iCs/>
          <w:color w:val="000000" w:themeColor="text1"/>
          <w:szCs w:val="22"/>
        </w:rPr>
        <w:t xml:space="preserve">, Inc. v. </w:t>
      </w:r>
      <w:proofErr w:type="spellStart"/>
      <w:r w:rsidRPr="00EF577A">
        <w:rPr>
          <w:i/>
          <w:iCs/>
          <w:color w:val="000000" w:themeColor="text1"/>
          <w:szCs w:val="22"/>
        </w:rPr>
        <w:t>Zeidenberg</w:t>
      </w:r>
      <w:proofErr w:type="spellEnd"/>
      <w:r w:rsidRPr="00EF577A">
        <w:rPr>
          <w:i/>
          <w:iCs/>
          <w:color w:val="000000" w:themeColor="text1"/>
          <w:szCs w:val="22"/>
        </w:rPr>
        <w:t>,</w:t>
      </w:r>
      <w:r w:rsidRPr="00EF577A">
        <w:rPr>
          <w:color w:val="000000" w:themeColor="text1"/>
          <w:szCs w:val="22"/>
        </w:rPr>
        <w:t xml:space="preserve"> the same court held that where an individual purchased software in a box containing license terms which were displayed on the computer screen every time the user executed the software program, the user had sufficient opportunity to review the terms and to return the software, and so was contractually bound after retaining the product. </w:t>
      </w:r>
      <w:proofErr w:type="spellStart"/>
      <w:r w:rsidRPr="00EF577A">
        <w:rPr>
          <w:i/>
          <w:iCs/>
          <w:color w:val="000000" w:themeColor="text1"/>
          <w:szCs w:val="22"/>
        </w:rPr>
        <w:t>ProCD</w:t>
      </w:r>
      <w:proofErr w:type="spellEnd"/>
      <w:r w:rsidRPr="00EF577A">
        <w:rPr>
          <w:i/>
          <w:iCs/>
          <w:color w:val="000000" w:themeColor="text1"/>
          <w:szCs w:val="22"/>
        </w:rPr>
        <w:t>,</w:t>
      </w:r>
      <w:r w:rsidRPr="00EF577A">
        <w:rPr>
          <w:color w:val="000000" w:themeColor="text1"/>
          <w:szCs w:val="22"/>
        </w:rPr>
        <w:t xml:space="preserve"> 86 F.3d at 1452; </w:t>
      </w:r>
      <w:r w:rsidRPr="00EF577A">
        <w:rPr>
          <w:i/>
          <w:iCs/>
          <w:color w:val="000000" w:themeColor="text1"/>
          <w:szCs w:val="22"/>
        </w:rPr>
        <w:t>cf. Moore v. Microsoft Corp.,</w:t>
      </w:r>
      <w:r w:rsidRPr="00EF577A">
        <w:rPr>
          <w:color w:val="000000" w:themeColor="text1"/>
          <w:szCs w:val="22"/>
        </w:rPr>
        <w:t xml:space="preserve"> 293 A.D.2d 587, 587, 741 N.Y.S.2d 91, 92 (2d </w:t>
      </w:r>
      <w:proofErr w:type="spellStart"/>
      <w:r w:rsidRPr="00EF577A">
        <w:rPr>
          <w:color w:val="000000" w:themeColor="text1"/>
          <w:szCs w:val="22"/>
        </w:rPr>
        <w:t>Dep't</w:t>
      </w:r>
      <w:proofErr w:type="spellEnd"/>
      <w:r w:rsidRPr="00EF577A">
        <w:rPr>
          <w:color w:val="000000" w:themeColor="text1"/>
          <w:szCs w:val="22"/>
        </w:rPr>
        <w:t xml:space="preserve"> 2002) (software user was bound by license agreement where terms were prominently displayed on computer screen before software could be installed and where user was required to indicate assent by clicking “I agree”); </w:t>
      </w:r>
      <w:r w:rsidRPr="00EF577A">
        <w:rPr>
          <w:i/>
          <w:iCs/>
          <w:color w:val="000000" w:themeColor="text1"/>
          <w:szCs w:val="22"/>
        </w:rPr>
        <w:t>Brower v. Gateway 2000, Inc.,</w:t>
      </w:r>
      <w:r w:rsidRPr="00EF577A">
        <w:rPr>
          <w:color w:val="000000" w:themeColor="text1"/>
          <w:szCs w:val="22"/>
        </w:rPr>
        <w:t xml:space="preserve"> 246 A.D.2d 246, 251, 676 N.Y.S.2d 569, 572 (1st </w:t>
      </w:r>
      <w:proofErr w:type="spellStart"/>
      <w:r w:rsidRPr="00EF577A">
        <w:rPr>
          <w:color w:val="000000" w:themeColor="text1"/>
          <w:szCs w:val="22"/>
        </w:rPr>
        <w:t>Dep't</w:t>
      </w:r>
      <w:proofErr w:type="spellEnd"/>
      <w:r w:rsidRPr="00EF577A">
        <w:rPr>
          <w:color w:val="000000" w:themeColor="text1"/>
          <w:szCs w:val="22"/>
        </w:rPr>
        <w:t xml:space="preserve"> 1998) (buyer assented to arbitration clause shipped inside box with computer and software by retaining items beyond date specified by license terms); </w:t>
      </w:r>
      <w:r w:rsidRPr="00EF577A">
        <w:rPr>
          <w:i/>
          <w:iCs/>
          <w:color w:val="000000" w:themeColor="text1"/>
          <w:szCs w:val="22"/>
        </w:rPr>
        <w:t>M.A. Mortenson Co. v. Timberline Software Corp.,</w:t>
      </w:r>
      <w:r w:rsidRPr="00EF577A">
        <w:rPr>
          <w:color w:val="000000" w:themeColor="text1"/>
          <w:szCs w:val="22"/>
        </w:rPr>
        <w:t xml:space="preserve"> 93 </w:t>
      </w:r>
      <w:proofErr w:type="spellStart"/>
      <w:r w:rsidRPr="00EF577A">
        <w:rPr>
          <w:color w:val="000000" w:themeColor="text1"/>
          <w:szCs w:val="22"/>
        </w:rPr>
        <w:t>Wash.App</w:t>
      </w:r>
      <w:proofErr w:type="spellEnd"/>
      <w:r w:rsidRPr="00EF577A">
        <w:rPr>
          <w:color w:val="000000" w:themeColor="text1"/>
          <w:szCs w:val="22"/>
        </w:rPr>
        <w:t xml:space="preserve">. 819, 970 P.2d 803, 809 (1999) (buyer manifested assent to software license terms by installing and using software), </w:t>
      </w:r>
      <w:r w:rsidRPr="00EF577A">
        <w:rPr>
          <w:i/>
          <w:iCs/>
          <w:color w:val="000000" w:themeColor="text1"/>
          <w:szCs w:val="22"/>
        </w:rPr>
        <w:t>aff'd,</w:t>
      </w:r>
      <w:r w:rsidRPr="00EF577A">
        <w:rPr>
          <w:color w:val="000000" w:themeColor="text1"/>
          <w:szCs w:val="22"/>
        </w:rPr>
        <w:t xml:space="preserve"> 140 Wash.2d 568, 998 P.2d 305 (2000); </w:t>
      </w:r>
      <w:r w:rsidRPr="00EF577A">
        <w:rPr>
          <w:i/>
          <w:iCs/>
          <w:color w:val="000000" w:themeColor="text1"/>
          <w:szCs w:val="22"/>
        </w:rPr>
        <w:t xml:space="preserve">see also </w:t>
      </w:r>
      <w:proofErr w:type="spellStart"/>
      <w:r w:rsidRPr="00EF577A">
        <w:rPr>
          <w:i/>
          <w:iCs/>
          <w:color w:val="000000" w:themeColor="text1"/>
          <w:szCs w:val="22"/>
        </w:rPr>
        <w:t>I.Lan</w:t>
      </w:r>
      <w:proofErr w:type="spellEnd"/>
      <w:r w:rsidRPr="00EF577A">
        <w:rPr>
          <w:i/>
          <w:iCs/>
          <w:color w:val="000000" w:themeColor="text1"/>
          <w:szCs w:val="22"/>
        </w:rPr>
        <w:t xml:space="preserve"> Sys.,</w:t>
      </w:r>
      <w:r w:rsidRPr="00EF577A">
        <w:rPr>
          <w:color w:val="000000" w:themeColor="text1"/>
          <w:szCs w:val="22"/>
        </w:rPr>
        <w:t xml:space="preserve"> 183 F.Supp.2d at 338 (business entity “explicitly accepted the clickwrap license agreement [contained in purchased software] when it clicked on the box stating ‘I agree’ ”).</w:t>
      </w:r>
    </w:p>
    <w:p w14:paraId="1C787104" w14:textId="77777777" w:rsidR="00CA0CF8" w:rsidRPr="00EF577A" w:rsidRDefault="00CA0CF8" w:rsidP="00CA0CF8">
      <w:pPr>
        <w:widowControl w:val="0"/>
        <w:autoSpaceDE w:val="0"/>
        <w:autoSpaceDN w:val="0"/>
        <w:adjustRightInd w:val="0"/>
        <w:rPr>
          <w:color w:val="000000" w:themeColor="text1"/>
          <w:szCs w:val="22"/>
        </w:rPr>
      </w:pPr>
    </w:p>
    <w:p w14:paraId="53945AE7"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These cases do not help defendants. To the extent that they hold that the purchaser of a computer or tangible software is contractually bound after failing to object to printed license terms provided with the product, </w:t>
      </w:r>
      <w:r w:rsidRPr="00EF577A">
        <w:rPr>
          <w:i/>
          <w:iCs/>
          <w:color w:val="000000" w:themeColor="text1"/>
          <w:szCs w:val="22"/>
        </w:rPr>
        <w:t>Hill</w:t>
      </w:r>
      <w:r w:rsidRPr="00EF577A">
        <w:rPr>
          <w:color w:val="000000" w:themeColor="text1"/>
          <w:szCs w:val="22"/>
        </w:rPr>
        <w:t xml:space="preserve"> and </w:t>
      </w:r>
      <w:r w:rsidRPr="00EF577A">
        <w:rPr>
          <w:i/>
          <w:iCs/>
          <w:color w:val="000000" w:themeColor="text1"/>
          <w:szCs w:val="22"/>
        </w:rPr>
        <w:t>Brower</w:t>
      </w:r>
      <w:r w:rsidRPr="00EF577A">
        <w:rPr>
          <w:color w:val="000000" w:themeColor="text1"/>
          <w:szCs w:val="22"/>
        </w:rPr>
        <w:t xml:space="preserve"> do not differ markedly from the cases involving traditional paper contracting discussed in the previous section. Insofar as the purchaser in </w:t>
      </w:r>
      <w:proofErr w:type="spellStart"/>
      <w:r w:rsidRPr="00EF577A">
        <w:rPr>
          <w:i/>
          <w:iCs/>
          <w:color w:val="000000" w:themeColor="text1"/>
          <w:szCs w:val="22"/>
        </w:rPr>
        <w:t>ProCD</w:t>
      </w:r>
      <w:proofErr w:type="spellEnd"/>
      <w:r w:rsidRPr="00EF577A">
        <w:rPr>
          <w:color w:val="000000" w:themeColor="text1"/>
          <w:szCs w:val="22"/>
        </w:rPr>
        <w:t xml:space="preserve"> was confronted with conspicuous, mandatory license terms every time he ran the software on his computer, that case actually undermines defendants' contention that downloading in the absence of conspicuous terms is an act that binds plaintiffs to those terms. In </w:t>
      </w:r>
      <w:r w:rsidRPr="00EF577A">
        <w:rPr>
          <w:i/>
          <w:iCs/>
          <w:color w:val="000000" w:themeColor="text1"/>
          <w:szCs w:val="22"/>
        </w:rPr>
        <w:t>Mortenson,</w:t>
      </w:r>
      <w:r w:rsidRPr="00EF577A">
        <w:rPr>
          <w:color w:val="000000" w:themeColor="text1"/>
          <w:szCs w:val="22"/>
        </w:rPr>
        <w:t xml:space="preserve"> the full text of license terms was printed on each sealed diskette envelope inside the software box, printed again on the inside cover of the user manual, and notice of the terms appeared on the computer screen every time the purchaser executed the program. </w:t>
      </w:r>
      <w:r w:rsidRPr="00EF577A">
        <w:rPr>
          <w:i/>
          <w:iCs/>
          <w:color w:val="000000" w:themeColor="text1"/>
          <w:szCs w:val="22"/>
        </w:rPr>
        <w:t>Mortenson,</w:t>
      </w:r>
      <w:r w:rsidRPr="00EF577A">
        <w:rPr>
          <w:color w:val="000000" w:themeColor="text1"/>
          <w:szCs w:val="22"/>
        </w:rPr>
        <w:t xml:space="preserve"> 970 P.2d at 806. In sum, the foregoing cases are clearly distinguishable from the facts of the present action.</w:t>
      </w:r>
    </w:p>
    <w:p w14:paraId="7D702F73" w14:textId="77777777" w:rsidR="00CA0CF8" w:rsidRPr="00EF577A" w:rsidRDefault="00CA0CF8" w:rsidP="00CA0CF8">
      <w:pPr>
        <w:widowControl w:val="0"/>
        <w:autoSpaceDE w:val="0"/>
        <w:autoSpaceDN w:val="0"/>
        <w:adjustRightInd w:val="0"/>
        <w:rPr>
          <w:color w:val="000000" w:themeColor="text1"/>
          <w:szCs w:val="22"/>
        </w:rPr>
      </w:pPr>
    </w:p>
    <w:p w14:paraId="53D93F52" w14:textId="77777777" w:rsidR="00CA0CF8" w:rsidRPr="00EF577A" w:rsidRDefault="00CA0CF8" w:rsidP="00CA0CF8">
      <w:pPr>
        <w:widowControl w:val="0"/>
        <w:autoSpaceDE w:val="0"/>
        <w:autoSpaceDN w:val="0"/>
        <w:adjustRightInd w:val="0"/>
        <w:rPr>
          <w:color w:val="000000" w:themeColor="text1"/>
          <w:szCs w:val="22"/>
        </w:rPr>
      </w:pPr>
      <w:r w:rsidRPr="00EF577A">
        <w:rPr>
          <w:b/>
          <w:color w:val="000000" w:themeColor="text1"/>
          <w:szCs w:val="22"/>
        </w:rPr>
        <w:t>C. Online Transactions</w:t>
      </w:r>
    </w:p>
    <w:p w14:paraId="505F0009" w14:textId="77777777" w:rsidR="00CA0CF8" w:rsidRPr="00EF577A" w:rsidRDefault="00CA0CF8" w:rsidP="00CA0CF8">
      <w:pPr>
        <w:widowControl w:val="0"/>
        <w:autoSpaceDE w:val="0"/>
        <w:autoSpaceDN w:val="0"/>
        <w:adjustRightInd w:val="0"/>
        <w:rPr>
          <w:color w:val="000000" w:themeColor="text1"/>
          <w:szCs w:val="22"/>
        </w:rPr>
      </w:pPr>
    </w:p>
    <w:p w14:paraId="67912B8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Cases in which courts have found contracts arising from Internet use do not assist defendants, because in those circumstances there was much clearer notice than in the present case that a user's act would manifest assent to contract terms . . . </w:t>
      </w:r>
    </w:p>
    <w:p w14:paraId="474037E8" w14:textId="77777777" w:rsidR="00CA0CF8" w:rsidRPr="00EF577A" w:rsidRDefault="00CA0CF8" w:rsidP="00CA0CF8">
      <w:pPr>
        <w:widowControl w:val="0"/>
        <w:autoSpaceDE w:val="0"/>
        <w:autoSpaceDN w:val="0"/>
        <w:adjustRightInd w:val="0"/>
        <w:rPr>
          <w:color w:val="000000" w:themeColor="text1"/>
          <w:szCs w:val="22"/>
        </w:rPr>
      </w:pPr>
    </w:p>
    <w:p w14:paraId="05AD92E8"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After reviewing the California common law and other relevant legal authority, we conclude that under the circumstances here, plaintiffs' downloading of </w:t>
      </w:r>
      <w:proofErr w:type="spellStart"/>
      <w:r w:rsidRPr="00EF577A">
        <w:rPr>
          <w:color w:val="000000" w:themeColor="text1"/>
          <w:szCs w:val="22"/>
        </w:rPr>
        <w:t>SmartDownload</w:t>
      </w:r>
      <w:proofErr w:type="spellEnd"/>
      <w:r w:rsidRPr="00EF577A">
        <w:rPr>
          <w:color w:val="000000" w:themeColor="text1"/>
          <w:szCs w:val="22"/>
        </w:rPr>
        <w:t xml:space="preserve"> did not constitute acceptance of defendants' license terms. Reasonably conspicuous notice of the existence of contract terms and unambiguous manifestation of assent to those terms by consumers are essential if electronic bargaining is to have integrity and credibility. We hold that a reasonably prudent offeree in plaintiffs' position would not have known or learned, prior to acting on the invitation to download, of the reference to </w:t>
      </w:r>
      <w:proofErr w:type="spellStart"/>
      <w:r w:rsidRPr="00EF577A">
        <w:rPr>
          <w:color w:val="000000" w:themeColor="text1"/>
          <w:szCs w:val="22"/>
        </w:rPr>
        <w:t>SmartDownload's</w:t>
      </w:r>
      <w:proofErr w:type="spellEnd"/>
      <w:r w:rsidRPr="00EF577A">
        <w:rPr>
          <w:color w:val="000000" w:themeColor="text1"/>
          <w:szCs w:val="22"/>
        </w:rPr>
        <w:t xml:space="preserve"> license terms hidden below the “Download” button on the next screen. We affirm the district court's conclusion that the user plaintiffs . . . are not bound by the arbitration </w:t>
      </w:r>
      <w:r w:rsidRPr="00EF577A">
        <w:rPr>
          <w:color w:val="000000" w:themeColor="text1"/>
          <w:szCs w:val="22"/>
        </w:rPr>
        <w:lastRenderedPageBreak/>
        <w:t>clause contained in those terms.</w:t>
      </w:r>
    </w:p>
    <w:p w14:paraId="6EE976A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 .</w:t>
      </w:r>
    </w:p>
    <w:p w14:paraId="0D7A544B" w14:textId="77777777" w:rsidR="00CA0CF8" w:rsidRPr="00EF577A" w:rsidRDefault="00CA0CF8" w:rsidP="00CA0CF8">
      <w:pPr>
        <w:widowControl w:val="0"/>
        <w:autoSpaceDE w:val="0"/>
        <w:autoSpaceDN w:val="0"/>
        <w:adjustRightInd w:val="0"/>
        <w:rPr>
          <w:color w:val="000000" w:themeColor="text1"/>
          <w:szCs w:val="22"/>
        </w:rPr>
      </w:pPr>
    </w:p>
    <w:p w14:paraId="29007087" w14:textId="77777777" w:rsidR="00CA0CF8" w:rsidRPr="00EF577A" w:rsidRDefault="00CA0CF8" w:rsidP="00CA0CF8">
      <w:pPr>
        <w:widowControl w:val="0"/>
        <w:autoSpaceDE w:val="0"/>
        <w:autoSpaceDN w:val="0"/>
        <w:adjustRightInd w:val="0"/>
        <w:rPr>
          <w:b/>
          <w:color w:val="000000" w:themeColor="text1"/>
          <w:szCs w:val="22"/>
        </w:rPr>
      </w:pPr>
      <w:r w:rsidRPr="00EF577A">
        <w:rPr>
          <w:b/>
          <w:color w:val="000000" w:themeColor="text1"/>
          <w:szCs w:val="22"/>
        </w:rPr>
        <w:t>CONCLUSION</w:t>
      </w:r>
    </w:p>
    <w:p w14:paraId="10E9B620" w14:textId="77777777" w:rsidR="00CA0CF8" w:rsidRPr="00EF577A" w:rsidRDefault="00CA0CF8" w:rsidP="00CA0CF8">
      <w:pPr>
        <w:widowControl w:val="0"/>
        <w:autoSpaceDE w:val="0"/>
        <w:autoSpaceDN w:val="0"/>
        <w:adjustRightInd w:val="0"/>
        <w:rPr>
          <w:color w:val="000000" w:themeColor="text1"/>
          <w:szCs w:val="22"/>
        </w:rPr>
      </w:pPr>
    </w:p>
    <w:p w14:paraId="70FC9D3F"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For the foregoing reasons, we affirm the district court's denial of defendants' motion to compel arbitration and to stay court proceedings.</w:t>
      </w:r>
    </w:p>
    <w:p w14:paraId="26297FDC" w14:textId="77777777" w:rsidR="00CA0CF8" w:rsidRPr="00EF577A" w:rsidRDefault="00CA0CF8" w:rsidP="00CA0CF8">
      <w:pPr>
        <w:contextualSpacing/>
        <w:rPr>
          <w:color w:val="000000" w:themeColor="text1"/>
          <w:szCs w:val="22"/>
        </w:rPr>
      </w:pPr>
    </w:p>
    <w:p w14:paraId="211AEC12" w14:textId="77777777" w:rsidR="00CA0CF8" w:rsidRPr="00EF577A" w:rsidRDefault="00CA0CF8" w:rsidP="00CA0CF8">
      <w:pPr>
        <w:rPr>
          <w:szCs w:val="22"/>
        </w:rPr>
      </w:pPr>
    </w:p>
    <w:p w14:paraId="20DF3D84" w14:textId="77777777" w:rsidR="00CA0CF8" w:rsidRPr="00EF577A" w:rsidRDefault="00CA0CF8" w:rsidP="00CA0CF8">
      <w:pPr>
        <w:rPr>
          <w:szCs w:val="22"/>
        </w:rPr>
      </w:pPr>
    </w:p>
    <w:p w14:paraId="6E7E37C5" w14:textId="77777777" w:rsidR="00F855B6" w:rsidRPr="00EF577A" w:rsidRDefault="00F855B6" w:rsidP="00F855B6">
      <w:pPr>
        <w:widowControl w:val="0"/>
        <w:autoSpaceDE w:val="0"/>
        <w:autoSpaceDN w:val="0"/>
        <w:adjustRightInd w:val="0"/>
        <w:jc w:val="both"/>
        <w:rPr>
          <w:color w:val="000000" w:themeColor="text1"/>
          <w:szCs w:val="22"/>
        </w:rPr>
      </w:pPr>
    </w:p>
    <w:p w14:paraId="7B2E5FF2" w14:textId="073024E8" w:rsidR="00F855B6" w:rsidRPr="00EF577A" w:rsidRDefault="00F855B6" w:rsidP="00F855B6">
      <w:pPr>
        <w:widowControl w:val="0"/>
        <w:autoSpaceDE w:val="0"/>
        <w:autoSpaceDN w:val="0"/>
        <w:adjustRightInd w:val="0"/>
        <w:jc w:val="center"/>
        <w:outlineLvl w:val="0"/>
        <w:rPr>
          <w:rFonts w:cs="Arial"/>
          <w:color w:val="000000" w:themeColor="text1"/>
          <w:szCs w:val="22"/>
        </w:rPr>
        <w:sectPr w:rsidR="00F855B6" w:rsidRPr="00EF577A" w:rsidSect="00F855B6">
          <w:headerReference w:type="default" r:id="rId27"/>
          <w:footerReference w:type="default" r:id="rId28"/>
          <w:type w:val="continuous"/>
          <w:pgSz w:w="12240" w:h="15840"/>
          <w:pgMar w:top="1800" w:right="1080" w:bottom="1080" w:left="1080" w:header="720" w:footer="720" w:gutter="0"/>
          <w:cols w:space="720"/>
          <w:noEndnote/>
        </w:sectPr>
      </w:pPr>
      <w:bookmarkStart w:id="41" w:name="_Toc186019887"/>
      <w:r w:rsidRPr="00EF577A">
        <w:rPr>
          <w:rFonts w:cs="Georgia"/>
          <w:color w:val="000000"/>
          <w:szCs w:val="22"/>
        </w:rPr>
        <w:t>Daniel Berman v. Freedom Financial Network, LLC</w:t>
      </w:r>
      <w:bookmarkEnd w:id="41"/>
      <w:r w:rsidRPr="00EF577A">
        <w:rPr>
          <w:rFonts w:cs="Georgia"/>
          <w:color w:val="000000"/>
          <w:szCs w:val="22"/>
        </w:rPr>
        <w:t xml:space="preserve"> </w:t>
      </w:r>
    </w:p>
    <w:p w14:paraId="3D23CFF5" w14:textId="77777777" w:rsidR="00F855B6" w:rsidRPr="00EF577A" w:rsidRDefault="00F855B6" w:rsidP="00F855B6">
      <w:pPr>
        <w:widowControl w:val="0"/>
        <w:autoSpaceDE w:val="0"/>
        <w:autoSpaceDN w:val="0"/>
        <w:adjustRightInd w:val="0"/>
        <w:rPr>
          <w:color w:val="000000" w:themeColor="text1"/>
          <w:szCs w:val="22"/>
        </w:rPr>
      </w:pPr>
      <w:bookmarkStart w:id="42" w:name="I7ff3c480b51711ec99dfd0646e92f5e0_Target"/>
      <w:bookmarkEnd w:id="42"/>
    </w:p>
    <w:p w14:paraId="21EDCC63" w14:textId="77777777" w:rsidR="00F855B6" w:rsidRPr="00EF577A" w:rsidRDefault="00F855B6" w:rsidP="00F855B6">
      <w:pPr>
        <w:widowControl w:val="0"/>
        <w:autoSpaceDE w:val="0"/>
        <w:autoSpaceDN w:val="0"/>
        <w:adjustRightInd w:val="0"/>
        <w:ind w:left="100" w:right="100"/>
        <w:jc w:val="center"/>
        <w:rPr>
          <w:rFonts w:cs="Georgia"/>
          <w:color w:val="000000"/>
          <w:szCs w:val="22"/>
        </w:rPr>
      </w:pPr>
      <w:r w:rsidRPr="00EF577A">
        <w:rPr>
          <w:rFonts w:cs="Georgia"/>
          <w:color w:val="000000" w:themeColor="text1"/>
          <w:szCs w:val="22"/>
        </w:rPr>
        <w:t>30 F.4th 849 (</w:t>
      </w:r>
      <w:r w:rsidRPr="00EF577A">
        <w:rPr>
          <w:rFonts w:cs="Georgia"/>
          <w:color w:val="000000"/>
          <w:szCs w:val="22"/>
        </w:rPr>
        <w:t>2022</w:t>
      </w:r>
      <w:r w:rsidRPr="00EF577A">
        <w:rPr>
          <w:rFonts w:cs="Georgia"/>
          <w:color w:val="000000" w:themeColor="text1"/>
          <w:szCs w:val="22"/>
        </w:rPr>
        <w:t>)</w:t>
      </w:r>
    </w:p>
    <w:p w14:paraId="3AC6B866" w14:textId="77777777" w:rsidR="00F855B6" w:rsidRPr="00EF577A" w:rsidRDefault="00F855B6" w:rsidP="00F855B6">
      <w:pPr>
        <w:widowControl w:val="0"/>
        <w:autoSpaceDE w:val="0"/>
        <w:autoSpaceDN w:val="0"/>
        <w:adjustRightInd w:val="0"/>
        <w:jc w:val="center"/>
        <w:rPr>
          <w:rFonts w:cs="Georgia"/>
          <w:color w:val="000000" w:themeColor="text1"/>
          <w:szCs w:val="22"/>
        </w:rPr>
      </w:pPr>
      <w:r w:rsidRPr="00EF577A">
        <w:rPr>
          <w:rFonts w:cs="Georgia"/>
          <w:color w:val="000000" w:themeColor="text1"/>
          <w:szCs w:val="22"/>
        </w:rPr>
        <w:t>United States Court of Appeals, Ninth Circuit</w:t>
      </w:r>
    </w:p>
    <w:p w14:paraId="749CF100" w14:textId="77777777" w:rsidR="00F855B6" w:rsidRPr="00EF577A" w:rsidRDefault="00F855B6" w:rsidP="00F855B6">
      <w:pPr>
        <w:widowControl w:val="0"/>
        <w:autoSpaceDE w:val="0"/>
        <w:autoSpaceDN w:val="0"/>
        <w:adjustRightInd w:val="0"/>
        <w:jc w:val="center"/>
        <w:rPr>
          <w:rFonts w:cs="Georgia"/>
          <w:color w:val="000000" w:themeColor="text1"/>
          <w:szCs w:val="22"/>
        </w:rPr>
      </w:pPr>
    </w:p>
    <w:p w14:paraId="43D685EF" w14:textId="77777777" w:rsidR="00F855B6" w:rsidRPr="00EF577A" w:rsidRDefault="00F855B6" w:rsidP="00F855B6">
      <w:pPr>
        <w:widowControl w:val="0"/>
        <w:tabs>
          <w:tab w:val="left" w:pos="2563"/>
          <w:tab w:val="center" w:pos="5040"/>
        </w:tabs>
        <w:autoSpaceDE w:val="0"/>
        <w:autoSpaceDN w:val="0"/>
        <w:adjustRightInd w:val="0"/>
        <w:rPr>
          <w:b/>
          <w:bCs/>
          <w:color w:val="000000" w:themeColor="text1"/>
          <w:szCs w:val="22"/>
        </w:rPr>
      </w:pPr>
      <w:bookmarkStart w:id="43" w:name="co_synopsis_1"/>
      <w:bookmarkEnd w:id="43"/>
      <w:r w:rsidRPr="00EF577A">
        <w:rPr>
          <w:b/>
          <w:bCs/>
          <w:color w:val="000000" w:themeColor="text1"/>
          <w:szCs w:val="22"/>
        </w:rPr>
        <w:tab/>
      </w:r>
      <w:r w:rsidRPr="00EF577A">
        <w:rPr>
          <w:b/>
          <w:bCs/>
          <w:color w:val="000000" w:themeColor="text1"/>
          <w:szCs w:val="22"/>
        </w:rPr>
        <w:tab/>
        <w:t>OPINION</w:t>
      </w:r>
    </w:p>
    <w:p w14:paraId="17DD0242" w14:textId="77777777" w:rsidR="00F855B6" w:rsidRPr="00EF577A" w:rsidRDefault="00F855B6" w:rsidP="00F855B6">
      <w:pPr>
        <w:widowControl w:val="0"/>
        <w:autoSpaceDE w:val="0"/>
        <w:autoSpaceDN w:val="0"/>
        <w:adjustRightInd w:val="0"/>
        <w:spacing w:before="200" w:after="200"/>
        <w:jc w:val="both"/>
        <w:rPr>
          <w:color w:val="000000" w:themeColor="text1"/>
          <w:szCs w:val="22"/>
        </w:rPr>
      </w:pPr>
      <w:hyperlink r:id="rId29" w:history="1">
        <w:r w:rsidRPr="00EF577A">
          <w:rPr>
            <w:color w:val="000000" w:themeColor="text1"/>
            <w:szCs w:val="22"/>
          </w:rPr>
          <w:t>WATFORD</w:t>
        </w:r>
      </w:hyperlink>
      <w:r w:rsidRPr="00EF577A">
        <w:rPr>
          <w:color w:val="000000" w:themeColor="text1"/>
          <w:szCs w:val="22"/>
        </w:rPr>
        <w:t>, Circuit Judge:</w:t>
      </w:r>
    </w:p>
    <w:p w14:paraId="14AC6F0D" w14:textId="77777777" w:rsidR="00F855B6" w:rsidRPr="00EF577A" w:rsidRDefault="00F855B6" w:rsidP="00F855B6">
      <w:pPr>
        <w:widowControl w:val="0"/>
        <w:autoSpaceDE w:val="0"/>
        <w:autoSpaceDN w:val="0"/>
        <w:adjustRightInd w:val="0"/>
        <w:jc w:val="both"/>
        <w:rPr>
          <w:color w:val="000000" w:themeColor="text1"/>
          <w:szCs w:val="22"/>
        </w:rPr>
      </w:pPr>
      <w:bookmarkStart w:id="44" w:name="co_pp_sp_8173_853_1"/>
      <w:bookmarkEnd w:id="44"/>
      <w:r w:rsidRPr="00EF577A">
        <w:rPr>
          <w:color w:val="000000" w:themeColor="text1"/>
          <w:szCs w:val="22"/>
        </w:rPr>
        <w:t xml:space="preserve">We revisit an issue first addressed by our court in </w:t>
      </w:r>
      <w:hyperlink r:id="rId30" w:history="1">
        <w:r w:rsidRPr="00EF577A">
          <w:rPr>
            <w:i/>
            <w:iCs/>
            <w:color w:val="000000" w:themeColor="text1"/>
            <w:szCs w:val="22"/>
          </w:rPr>
          <w:t>Nguyen v. Barnes &amp; Noble, Inc.</w:t>
        </w:r>
        <w:r w:rsidRPr="00EF577A">
          <w:rPr>
            <w:color w:val="000000" w:themeColor="text1"/>
            <w:szCs w:val="22"/>
          </w:rPr>
          <w:t>, 763 F.3d 1171 (9th Cir. 2014)</w:t>
        </w:r>
      </w:hyperlink>
      <w:r w:rsidRPr="00EF577A">
        <w:rPr>
          <w:color w:val="000000" w:themeColor="text1"/>
          <w:szCs w:val="22"/>
        </w:rPr>
        <w:t>: Under what circumstances can the use of a website bind a consumer to a set of hyperlinked “terms and conditions” that the consumer never saw or read?</w:t>
      </w:r>
    </w:p>
    <w:p w14:paraId="362D0DBB"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797487C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In this case, plaintiffs used defendants’ websites but did not see a notice in fine print stating, “I understand and agree to the </w:t>
      </w:r>
      <w:r w:rsidRPr="00EF577A">
        <w:rPr>
          <w:color w:val="000000" w:themeColor="text1"/>
          <w:szCs w:val="22"/>
          <w:u w:val="single"/>
        </w:rPr>
        <w:t>Terms &amp; Conditions</w:t>
      </w:r>
      <w:r w:rsidRPr="00EF577A">
        <w:rPr>
          <w:color w:val="000000" w:themeColor="text1"/>
          <w:szCs w:val="22"/>
        </w:rPr>
        <w:t xml:space="preserve"> which includes mandatory arbitration.” When a dispute arose and plaintiffs filed this lawsuit, defendants moved to compel arbitration, arguing that plaintiffs’ use of the websites signified their agreement to the mandatory arbitration provision found in the hyperlinked terms and conditions. The district court rejected this argument, and so do we. Plaintiffs did not unambiguously manifest their assent to the terms and conditions when navigating through the websites, and as a result they never entered into a binding agreement to arbitrate their dispute. We therefore affirm the district court’s order denying defendants’ motion to compel arbitration.</w:t>
      </w:r>
      <w:bookmarkStart w:id="45" w:name="co_anchor_Ia5c2b2e124be11ed93f8c074fb446"/>
      <w:bookmarkEnd w:id="45"/>
    </w:p>
    <w:p w14:paraId="068932F6" w14:textId="77777777" w:rsidR="00F855B6" w:rsidRPr="00EF577A" w:rsidRDefault="00F855B6" w:rsidP="00F855B6">
      <w:pPr>
        <w:widowControl w:val="0"/>
        <w:autoSpaceDE w:val="0"/>
        <w:autoSpaceDN w:val="0"/>
        <w:adjustRightInd w:val="0"/>
        <w:spacing w:before="400" w:after="200"/>
        <w:jc w:val="center"/>
        <w:rPr>
          <w:color w:val="000000" w:themeColor="text1"/>
          <w:szCs w:val="22"/>
        </w:rPr>
      </w:pPr>
      <w:r w:rsidRPr="00EF577A">
        <w:rPr>
          <w:color w:val="000000" w:themeColor="text1"/>
          <w:szCs w:val="22"/>
        </w:rPr>
        <w:t>I</w:t>
      </w:r>
    </w:p>
    <w:p w14:paraId="5874C93A"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Defendant Fluent, Inc. is a digital marketing company that generates leads for its clients by collecting information about consumers who visit Fluent’s websites. Fluent’s websites offer rewards like gift cards and free product samples as an enticement to get consumers to provide their contact information and answer survey questions. Fluent then uses the information it collects in targeted marketing campaigns conducted on behalf of its clients.</w:t>
      </w:r>
    </w:p>
    <w:p w14:paraId="1358A950"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4B642379"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The plaintiffs involved in this appeal, Stephanie Hernandez and Erica </w:t>
      </w:r>
      <w:proofErr w:type="gramStart"/>
      <w:r w:rsidRPr="00EF577A">
        <w:rPr>
          <w:color w:val="000000" w:themeColor="text1"/>
          <w:szCs w:val="22"/>
        </w:rPr>
        <w:t>Russell,</w:t>
      </w:r>
      <w:proofErr w:type="gramEnd"/>
      <w:r w:rsidRPr="00EF577A">
        <w:rPr>
          <w:color w:val="000000" w:themeColor="text1"/>
          <w:szCs w:val="22"/>
        </w:rPr>
        <w:t xml:space="preserve"> each visited a website operated by Fluent. The two websites differed in certain respects, but as described below, both contained a set of hyperlinked terms and conditions that included a mandatory arbitration provision, the enforceability of which is the principal issue raised on appeal.</w:t>
      </w:r>
    </w:p>
    <w:p w14:paraId="5BB1C8C0"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4E6F47E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According to Fluent’s records, Hernandez visited the Fluent website </w:t>
      </w:r>
      <w:r w:rsidRPr="00EF577A">
        <w:rPr>
          <w:color w:val="000000" w:themeColor="text1"/>
          <w:szCs w:val="22"/>
        </w:rPr>
        <w:lastRenderedPageBreak/>
        <w:t xml:space="preserve">www.getsamplesonlinenow.com from a desktop computer. Because Hernandez had visited a Fluent website before and had previously entered some of her contact information, the webpage she saw stated, in large orange letters across the top of the page, “Welcome back, </w:t>
      </w:r>
      <w:proofErr w:type="spellStart"/>
      <w:r w:rsidRPr="00EF577A">
        <w:rPr>
          <w:color w:val="000000" w:themeColor="text1"/>
          <w:szCs w:val="22"/>
        </w:rPr>
        <w:t>stephanie</w:t>
      </w:r>
      <w:proofErr w:type="spellEnd"/>
      <w:r w:rsidRPr="00EF577A">
        <w:rPr>
          <w:color w:val="000000" w:themeColor="text1"/>
          <w:szCs w:val="22"/>
        </w:rPr>
        <w:t xml:space="preserve">!” </w:t>
      </w:r>
      <w:r w:rsidRPr="00EF577A">
        <w:rPr>
          <w:i/>
          <w:iCs/>
          <w:color w:val="000000" w:themeColor="text1"/>
          <w:szCs w:val="22"/>
        </w:rPr>
        <w:t>See</w:t>
      </w:r>
      <w:r w:rsidRPr="00EF577A">
        <w:rPr>
          <w:color w:val="000000" w:themeColor="text1"/>
          <w:szCs w:val="22"/>
        </w:rPr>
        <w:t xml:space="preserve"> Appendix A.</w:t>
      </w:r>
      <w:bookmarkStart w:id="46" w:name="co_fnRef_B00032055884132_ID0EKABG_1"/>
      <w:bookmarkEnd w:id="46"/>
      <w:r w:rsidRPr="00EF577A">
        <w:rPr>
          <w:color w:val="000000" w:themeColor="text1"/>
          <w:szCs w:val="22"/>
        </w:rPr>
        <w:t xml:space="preserve"> In the middle of the screen, the webpage proclaimed, “Getting Free Stuff Has Never Been Easier!” and included brightly colored graphics. In between those two lines of text appeared a box that stated at the top, “Confirm your ZIP Code Below,” followed immediately by a pre-populated text box displaying the zip code 93930. Below that, the page displayed a large green button inviting Hernandez to confirm the accuracy of the zip code so that she could proceed to the next page in the website flow. The text inside the button stated, in easy-to-read white letters, “This is correct, Continue! &gt;&gt;.” Clicking on this button led to the next page, which asked Hernandez to provide personal information </w:t>
      </w:r>
      <w:bookmarkStart w:id="47" w:name="co_pp_sp_8173_854_1"/>
      <w:bookmarkEnd w:id="47"/>
      <w:r w:rsidRPr="00EF577A">
        <w:rPr>
          <w:color w:val="000000" w:themeColor="text1"/>
          <w:szCs w:val="22"/>
        </w:rPr>
        <w:t>in order to obtain free product samples and promotional deals.</w:t>
      </w:r>
    </w:p>
    <w:p w14:paraId="1E25BD0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28D0E4FF"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Between the comparatively large box displaying the zip code and the large green “continue” button were two lines of text in a tiny gray font, which stated: “I understand and agree to the </w:t>
      </w:r>
      <w:r w:rsidRPr="00EF577A">
        <w:rPr>
          <w:color w:val="000000" w:themeColor="text1"/>
          <w:szCs w:val="22"/>
          <w:u w:val="single"/>
        </w:rPr>
        <w:t>Terms &amp; Conditions</w:t>
      </w:r>
      <w:r w:rsidRPr="00EF577A">
        <w:rPr>
          <w:color w:val="000000" w:themeColor="text1"/>
          <w:szCs w:val="22"/>
        </w:rPr>
        <w:t xml:space="preserve"> which includes mandatory arbitration and </w:t>
      </w:r>
      <w:r w:rsidRPr="00EF577A">
        <w:rPr>
          <w:color w:val="000000" w:themeColor="text1"/>
          <w:szCs w:val="22"/>
          <w:u w:val="single"/>
        </w:rPr>
        <w:t>Privacy Policy</w:t>
      </w:r>
      <w:r w:rsidRPr="00EF577A">
        <w:rPr>
          <w:color w:val="000000" w:themeColor="text1"/>
          <w:szCs w:val="22"/>
        </w:rPr>
        <w:t>.” The underlined phrases “Terms &amp; Conditions” and “Privacy Policy” were hyperlinks, but they appeared in the same gray font as the rest of the sentence, rather than in blue, the color typically used to signify the presence of a hyperlink. If Hernandez had seen the “Terms &amp; Conditions” hyperlink and clicked on it, she would have been taken to a separate webpage displaying a lengthy set of legal provisions, one of which stated that any disputes related to telemarketing calls or text messages received from Fluent or its marketing partners would have to be resolved through arbitration.</w:t>
      </w:r>
    </w:p>
    <w:p w14:paraId="70EDDA5C"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6FDEDF7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According to Fluent’s records, Russell visited a different Fluent website, www.retailproductzone.com, using a mobile phone. The key webpage she viewed while registering to receive a free gift card stated at the top, “Shipping Information Required,” and below that, “Complete your shipping information to continue towards your reward.” </w:t>
      </w:r>
      <w:r w:rsidRPr="00EF577A">
        <w:rPr>
          <w:i/>
          <w:iCs/>
          <w:color w:val="000000" w:themeColor="text1"/>
          <w:szCs w:val="22"/>
        </w:rPr>
        <w:t>See</w:t>
      </w:r>
      <w:r w:rsidRPr="00EF577A">
        <w:rPr>
          <w:color w:val="000000" w:themeColor="text1"/>
          <w:szCs w:val="22"/>
        </w:rPr>
        <w:t xml:space="preserve"> Appendix B. What followed were several fields requiring Russell to input her name, address, telephone number, and date of birth. Below a line instructing the user to “Select Gender,” two buttons appeared side by side marked “Male” and “Female.” Below that was a large green button with text that stated, in easy-to-read white letters, “Continue &gt;&gt;.” Russell had to click on the “continue” button to proceed to the next page in the website flow.</w:t>
      </w:r>
    </w:p>
    <w:p w14:paraId="542F2B7F"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0A4968E"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As with the webpage Hernandez viewed, sandwiched between the buttons allowing Russell to select her gender and the large green “continue” button were the same two lines of text in tiny gray font stating, “I understand and agree to the </w:t>
      </w:r>
      <w:r w:rsidRPr="00EF577A">
        <w:rPr>
          <w:color w:val="000000" w:themeColor="text1"/>
          <w:szCs w:val="22"/>
          <w:u w:val="single"/>
        </w:rPr>
        <w:t>Terms &amp; Conditions</w:t>
      </w:r>
      <w:r w:rsidRPr="00EF577A">
        <w:rPr>
          <w:color w:val="000000" w:themeColor="text1"/>
          <w:szCs w:val="22"/>
        </w:rPr>
        <w:t xml:space="preserve"> which includes mandatory arbitration and </w:t>
      </w:r>
      <w:r w:rsidRPr="00EF577A">
        <w:rPr>
          <w:color w:val="000000" w:themeColor="text1"/>
          <w:szCs w:val="22"/>
          <w:u w:val="single"/>
        </w:rPr>
        <w:t>Privacy Policy</w:t>
      </w:r>
      <w:r w:rsidRPr="00EF577A">
        <w:rPr>
          <w:color w:val="000000" w:themeColor="text1"/>
          <w:szCs w:val="22"/>
        </w:rPr>
        <w:t>.” The hyperlinks were underlined but again appeared in the same gray font as the rest of the sentence. The “Terms &amp; Conditions” contained a mandatory arbitration provision similar to the one described above.</w:t>
      </w:r>
    </w:p>
    <w:p w14:paraId="3530A33F"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25F383AD"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Fluent and defendant Lead Science, LLC used the contact information provided by consumers like Hernandez and Russell to conduct a telemarketing campaign on behalf of defendants Freedom Financial Network, LLC and Freedom Debt Relief, LLC (collectively, Freedom). As part of the campaign, Fluent and Lead Science allegedly placed unsolicited telephone calls and text messages to hundreds of thousands of consumers, including Hernandez and Russell, marketing Freedom’s debt-relief services.</w:t>
      </w:r>
    </w:p>
    <w:p w14:paraId="0A0F4AE2"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lastRenderedPageBreak/>
        <w:t> </w:t>
      </w:r>
    </w:p>
    <w:p w14:paraId="07B87B1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Plaintiffs filed this putative class action on behalf of consumers who received unwanted calls or text messages from defendants during the telemarketing campaign conducted on Freedom’s behalf. They allege that the calls and text messages were made or sent without their consent and therefore violated the Telephone Consumer Protection Act (TCPA), </w:t>
      </w:r>
      <w:hyperlink r:id="rId31" w:history="1">
        <w:r w:rsidRPr="00EF577A">
          <w:rPr>
            <w:color w:val="000000" w:themeColor="text1"/>
            <w:szCs w:val="22"/>
          </w:rPr>
          <w:t xml:space="preserve">47 U.S.C. § 227 </w:t>
        </w:r>
        <w:r w:rsidRPr="00EF577A">
          <w:rPr>
            <w:i/>
            <w:iCs/>
            <w:color w:val="000000" w:themeColor="text1"/>
            <w:szCs w:val="22"/>
          </w:rPr>
          <w:t>et seq.</w:t>
        </w:r>
      </w:hyperlink>
    </w:p>
    <w:p w14:paraId="4B563981"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45E8ED25"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Defendants moved to compel arbitration, arguing that, by clicking on the “continue” buttons, Hernandez and Russell had agreed to the hyperlinked terms and conditions, including the mandatory arbitration provision. The district court denied defendants’ motion. The court concluded that the content and design of the webpages did not conspicuously indicate to users that, by clicking on the “continue” button, they were agreeing to Fluent’s terms and conditions.</w:t>
      </w:r>
    </w:p>
    <w:p w14:paraId="13DE71C5"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57BF576D" w14:textId="77777777" w:rsidR="00F855B6" w:rsidRPr="00EF577A" w:rsidRDefault="00F855B6" w:rsidP="00F855B6">
      <w:pPr>
        <w:widowControl w:val="0"/>
        <w:autoSpaceDE w:val="0"/>
        <w:autoSpaceDN w:val="0"/>
        <w:adjustRightInd w:val="0"/>
        <w:jc w:val="both"/>
        <w:rPr>
          <w:color w:val="000000" w:themeColor="text1"/>
          <w:szCs w:val="22"/>
        </w:rPr>
      </w:pPr>
      <w:bookmarkStart w:id="48" w:name="co_pp_sp_8173_855_1"/>
      <w:bookmarkEnd w:id="48"/>
      <w:r w:rsidRPr="00EF577A">
        <w:rPr>
          <w:color w:val="000000" w:themeColor="text1"/>
          <w:szCs w:val="22"/>
        </w:rPr>
        <w:t>Shortly after the district court denied defendants’ motion to compel arbitration, defendants filed a motion for reconsideration. They asserted that testimony given by plaintiffs in depositions taken two months earlier was material to the motion to compel. The district court denied the reconsideration motion, concluding that defendants had failed to act with reasonable diligence in producing the new evidence and, alternatively, that plaintiffs’ deposition testimony was not materially different from the facts the district court had previously considered.</w:t>
      </w:r>
    </w:p>
    <w:p w14:paraId="6289C7AA"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5ABDA125" w14:textId="77777777" w:rsidR="00F855B6" w:rsidRPr="00EF577A" w:rsidRDefault="00F855B6" w:rsidP="00F855B6">
      <w:pPr>
        <w:widowControl w:val="0"/>
        <w:autoSpaceDE w:val="0"/>
        <w:autoSpaceDN w:val="0"/>
        <w:adjustRightInd w:val="0"/>
        <w:jc w:val="both"/>
        <w:rPr>
          <w:color w:val="000000" w:themeColor="text1"/>
          <w:szCs w:val="22"/>
        </w:rPr>
      </w:pPr>
      <w:bookmarkStart w:id="49" w:name="co_anchor_B12055884132_1"/>
      <w:bookmarkStart w:id="50" w:name="co_anchor_B22055884132_1"/>
      <w:bookmarkEnd w:id="49"/>
      <w:bookmarkEnd w:id="50"/>
      <w:r w:rsidRPr="00EF577A">
        <w:rPr>
          <w:color w:val="000000" w:themeColor="text1"/>
          <w:szCs w:val="22"/>
        </w:rPr>
        <w:t xml:space="preserve">On appeal, defendants challenge the denial of both motions. We review </w:t>
      </w:r>
      <w:r w:rsidRPr="00EF577A">
        <w:rPr>
          <w:i/>
          <w:iCs/>
          <w:color w:val="000000" w:themeColor="text1"/>
          <w:szCs w:val="22"/>
        </w:rPr>
        <w:t>de novo</w:t>
      </w:r>
      <w:r w:rsidRPr="00EF577A">
        <w:rPr>
          <w:color w:val="000000" w:themeColor="text1"/>
          <w:szCs w:val="22"/>
        </w:rPr>
        <w:t xml:space="preserve"> the denial of a motion to compel arbitration, while underlying factual findings are reviewed for clear error. </w:t>
      </w:r>
      <w:hyperlink r:id="rId32" w:anchor="co_pp_sp_506_1175" w:history="1">
        <w:r w:rsidRPr="00EF577A">
          <w:rPr>
            <w:i/>
            <w:iCs/>
            <w:color w:val="000000" w:themeColor="text1"/>
            <w:szCs w:val="22"/>
          </w:rPr>
          <w:t>Nguyen</w:t>
        </w:r>
        <w:r w:rsidRPr="00EF577A">
          <w:rPr>
            <w:color w:val="000000" w:themeColor="text1"/>
            <w:szCs w:val="22"/>
          </w:rPr>
          <w:t>, 763 F.3d at 1175</w:t>
        </w:r>
      </w:hyperlink>
      <w:r w:rsidRPr="00EF577A">
        <w:rPr>
          <w:color w:val="000000" w:themeColor="text1"/>
          <w:szCs w:val="22"/>
        </w:rPr>
        <w:t xml:space="preserve">. We review the denial of a motion for reconsideration for abuse of discretion. </w:t>
      </w:r>
      <w:hyperlink r:id="rId33" w:anchor="co_pp_sp_506_883" w:history="1">
        <w:r w:rsidRPr="00EF577A">
          <w:rPr>
            <w:i/>
            <w:iCs/>
            <w:color w:val="000000" w:themeColor="text1"/>
            <w:szCs w:val="22"/>
          </w:rPr>
          <w:t>Kona Enterprises, Inc. v. Estate of Bishop</w:t>
        </w:r>
        <w:r w:rsidRPr="00EF577A">
          <w:rPr>
            <w:color w:val="000000" w:themeColor="text1"/>
            <w:szCs w:val="22"/>
          </w:rPr>
          <w:t>, 229 F.3d 877, 883 (9th Cir. 2000)</w:t>
        </w:r>
      </w:hyperlink>
      <w:r w:rsidRPr="00EF577A">
        <w:rPr>
          <w:color w:val="000000" w:themeColor="text1"/>
          <w:szCs w:val="22"/>
        </w:rPr>
        <w:t>.</w:t>
      </w:r>
      <w:bookmarkStart w:id="51" w:name="co_anchor_Ia5c794e124be11ed93f8c074fb446"/>
      <w:bookmarkEnd w:id="51"/>
    </w:p>
    <w:p w14:paraId="37DBE0DC" w14:textId="77777777" w:rsidR="00F855B6" w:rsidRPr="00EF577A" w:rsidRDefault="00F855B6" w:rsidP="00F855B6">
      <w:pPr>
        <w:widowControl w:val="0"/>
        <w:autoSpaceDE w:val="0"/>
        <w:autoSpaceDN w:val="0"/>
        <w:adjustRightInd w:val="0"/>
        <w:spacing w:before="400" w:after="200"/>
        <w:jc w:val="center"/>
        <w:rPr>
          <w:color w:val="000000" w:themeColor="text1"/>
          <w:szCs w:val="22"/>
        </w:rPr>
      </w:pPr>
      <w:r w:rsidRPr="00EF577A">
        <w:rPr>
          <w:color w:val="000000" w:themeColor="text1"/>
          <w:szCs w:val="22"/>
        </w:rPr>
        <w:t>II</w:t>
      </w:r>
    </w:p>
    <w:p w14:paraId="094E184A" w14:textId="77777777" w:rsidR="00F855B6" w:rsidRPr="00EF577A" w:rsidRDefault="00F855B6" w:rsidP="00F855B6">
      <w:pPr>
        <w:widowControl w:val="0"/>
        <w:autoSpaceDE w:val="0"/>
        <w:autoSpaceDN w:val="0"/>
        <w:adjustRightInd w:val="0"/>
        <w:jc w:val="both"/>
        <w:rPr>
          <w:color w:val="000000" w:themeColor="text1"/>
          <w:szCs w:val="22"/>
        </w:rPr>
      </w:pPr>
      <w:bookmarkStart w:id="52" w:name="co_anchor_B32055884132_1"/>
      <w:bookmarkEnd w:id="52"/>
      <w:r w:rsidRPr="00EF577A">
        <w:rPr>
          <w:color w:val="000000" w:themeColor="text1"/>
          <w:szCs w:val="22"/>
        </w:rPr>
        <w:t xml:space="preserve">The Federal Arbitration Act (FAA) requires district courts to compel arbitration of claims covered by an enforceable arbitration agreement. </w:t>
      </w:r>
      <w:hyperlink r:id="rId34" w:history="1">
        <w:r w:rsidRPr="00EF577A">
          <w:rPr>
            <w:color w:val="000000" w:themeColor="text1"/>
            <w:szCs w:val="22"/>
          </w:rPr>
          <w:t>9 U.S.C. § 3</w:t>
        </w:r>
      </w:hyperlink>
      <w:r w:rsidRPr="00EF577A">
        <w:rPr>
          <w:color w:val="000000" w:themeColor="text1"/>
          <w:szCs w:val="22"/>
        </w:rPr>
        <w:t xml:space="preserve">. The FAA limits the court’s role to “determining whether a valid arbitration agreement exists and, if so, whether the agreement encompasses the dispute at issue.” </w:t>
      </w:r>
      <w:hyperlink r:id="rId35" w:anchor="co_pp_sp_506_1012" w:history="1">
        <w:proofErr w:type="spellStart"/>
        <w:r w:rsidRPr="00EF577A">
          <w:rPr>
            <w:i/>
            <w:iCs/>
            <w:color w:val="000000" w:themeColor="text1"/>
            <w:szCs w:val="22"/>
          </w:rPr>
          <w:t>Lifescan</w:t>
        </w:r>
        <w:proofErr w:type="spellEnd"/>
        <w:r w:rsidRPr="00EF577A">
          <w:rPr>
            <w:i/>
            <w:iCs/>
            <w:color w:val="000000" w:themeColor="text1"/>
            <w:szCs w:val="22"/>
          </w:rPr>
          <w:t>, Inc. v. Premier Diabetic Services, Inc.</w:t>
        </w:r>
        <w:r w:rsidRPr="00EF577A">
          <w:rPr>
            <w:color w:val="000000" w:themeColor="text1"/>
            <w:szCs w:val="22"/>
          </w:rPr>
          <w:t>, 363 F.3d 1010, 1012 (9th Cir. 2004)</w:t>
        </w:r>
      </w:hyperlink>
      <w:r w:rsidRPr="00EF577A">
        <w:rPr>
          <w:color w:val="000000" w:themeColor="text1"/>
          <w:szCs w:val="22"/>
        </w:rPr>
        <w:t>. Plaintiffs do not contest that the arbitration provision in the websites’ terms and conditions encompasses their TCPA claims. Thus, the only issue we must resolve is whether an agreement to arbitrate was validly formed.</w:t>
      </w:r>
      <w:bookmarkStart w:id="53" w:name="co_fnRef_B00042055884132_ID0EGKBG_1"/>
      <w:bookmarkEnd w:id="53"/>
      <w:r w:rsidRPr="00EF577A">
        <w:rPr>
          <w:color w:val="000000" w:themeColor="text1"/>
          <w:szCs w:val="22"/>
        </w:rPr>
        <w:fldChar w:fldCharType="begin"/>
      </w:r>
      <w:r w:rsidRPr="00EF577A">
        <w:rPr>
          <w:color w:val="000000" w:themeColor="text1"/>
          <w:szCs w:val="22"/>
        </w:rPr>
        <w:instrText xml:space="preserve">HYPERLINK "#co_footnote_B00042055884132_1" </w:instrText>
      </w:r>
      <w:r w:rsidRPr="00EF577A">
        <w:rPr>
          <w:color w:val="000000" w:themeColor="text1"/>
          <w:szCs w:val="22"/>
        </w:rPr>
      </w:r>
      <w:r w:rsidRPr="00EF577A">
        <w:rPr>
          <w:color w:val="000000" w:themeColor="text1"/>
          <w:szCs w:val="22"/>
        </w:rPr>
        <w:fldChar w:fldCharType="separate"/>
      </w:r>
      <w:r w:rsidRPr="00EF577A">
        <w:rPr>
          <w:color w:val="000000" w:themeColor="text1"/>
          <w:szCs w:val="22"/>
          <w:vertAlign w:val="superscript"/>
        </w:rPr>
        <w:t>2</w:t>
      </w:r>
      <w:r w:rsidRPr="00EF577A">
        <w:rPr>
          <w:color w:val="000000" w:themeColor="text1"/>
          <w:szCs w:val="22"/>
        </w:rPr>
        <w:fldChar w:fldCharType="end"/>
      </w:r>
    </w:p>
    <w:p w14:paraId="1406837C"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58EEF327" w14:textId="77777777" w:rsidR="00F855B6" w:rsidRPr="00EF577A" w:rsidRDefault="00F855B6" w:rsidP="00F855B6">
      <w:pPr>
        <w:widowControl w:val="0"/>
        <w:autoSpaceDE w:val="0"/>
        <w:autoSpaceDN w:val="0"/>
        <w:adjustRightInd w:val="0"/>
        <w:jc w:val="both"/>
        <w:rPr>
          <w:color w:val="000000" w:themeColor="text1"/>
          <w:szCs w:val="22"/>
        </w:rPr>
      </w:pPr>
      <w:bookmarkStart w:id="54" w:name="co_anchor_B42055884132_1"/>
      <w:bookmarkStart w:id="55" w:name="co_anchor_B52055884132_1"/>
      <w:bookmarkStart w:id="56" w:name="co_anchor_B62055884132_1"/>
      <w:bookmarkEnd w:id="54"/>
      <w:bookmarkEnd w:id="55"/>
      <w:bookmarkEnd w:id="56"/>
      <w:r w:rsidRPr="00EF577A">
        <w:rPr>
          <w:color w:val="000000" w:themeColor="text1"/>
          <w:szCs w:val="22"/>
        </w:rPr>
        <w:t xml:space="preserve">In determining whether the parties have agreed to arbitrate a particular dispute, federal courts apply state-law principles of contract formation. </w:t>
      </w:r>
      <w:r w:rsidRPr="00EF577A">
        <w:rPr>
          <w:i/>
          <w:iCs/>
          <w:color w:val="000000" w:themeColor="text1"/>
          <w:szCs w:val="22"/>
        </w:rPr>
        <w:t xml:space="preserve">See </w:t>
      </w:r>
      <w:hyperlink r:id="rId36" w:anchor="co_pp_sp_780_944" w:history="1">
        <w:r w:rsidRPr="00EF577A">
          <w:rPr>
            <w:i/>
            <w:iCs/>
            <w:color w:val="000000" w:themeColor="text1"/>
            <w:szCs w:val="22"/>
          </w:rPr>
          <w:t>First Options of Chicago, Inc. v. Kaplan</w:t>
        </w:r>
        <w:r w:rsidRPr="00EF577A">
          <w:rPr>
            <w:color w:val="000000" w:themeColor="text1"/>
            <w:szCs w:val="22"/>
          </w:rPr>
          <w:t xml:space="preserve">, 514 U.S. 938, 944, 115 </w:t>
        </w:r>
        <w:proofErr w:type="spellStart"/>
        <w:r w:rsidRPr="00EF577A">
          <w:rPr>
            <w:color w:val="000000" w:themeColor="text1"/>
            <w:szCs w:val="22"/>
          </w:rPr>
          <w:t>S.Ct</w:t>
        </w:r>
        <w:proofErr w:type="spellEnd"/>
        <w:r w:rsidRPr="00EF577A">
          <w:rPr>
            <w:color w:val="000000" w:themeColor="text1"/>
            <w:szCs w:val="22"/>
          </w:rPr>
          <w:t>. 1920, 131 L.Ed.2d 985 (1995)</w:t>
        </w:r>
      </w:hyperlink>
      <w:r w:rsidRPr="00EF577A">
        <w:rPr>
          <w:color w:val="000000" w:themeColor="text1"/>
          <w:szCs w:val="22"/>
        </w:rPr>
        <w:t>. Here, the parties agree that either New York or California law governs. “New York and California apply ‘substantially similar rules for determining whether the parties have mutually assented to a contract term.</w:t>
      </w:r>
      <w:proofErr w:type="gramStart"/>
      <w:r w:rsidRPr="00EF577A">
        <w:rPr>
          <w:color w:val="000000" w:themeColor="text1"/>
          <w:szCs w:val="22"/>
        </w:rPr>
        <w:t>’ ”</w:t>
      </w:r>
      <w:proofErr w:type="gramEnd"/>
      <w:r w:rsidRPr="00EF577A">
        <w:rPr>
          <w:color w:val="000000" w:themeColor="text1"/>
          <w:szCs w:val="22"/>
        </w:rPr>
        <w:t xml:space="preserve"> </w:t>
      </w:r>
      <w:hyperlink r:id="rId37" w:anchor="co_pp_sp_506_74" w:history="1">
        <w:r w:rsidRPr="00EF577A">
          <w:rPr>
            <w:i/>
            <w:iCs/>
            <w:color w:val="000000" w:themeColor="text1"/>
            <w:szCs w:val="22"/>
          </w:rPr>
          <w:t>Meyer v. Uber Technologies, Inc.</w:t>
        </w:r>
        <w:r w:rsidRPr="00EF577A">
          <w:rPr>
            <w:color w:val="000000" w:themeColor="text1"/>
            <w:szCs w:val="22"/>
          </w:rPr>
          <w:t>, 868 F.3d 66, 74 (2d Cir. 2017)</w:t>
        </w:r>
      </w:hyperlink>
      <w:r w:rsidRPr="00EF577A">
        <w:rPr>
          <w:color w:val="000000" w:themeColor="text1"/>
          <w:szCs w:val="22"/>
        </w:rPr>
        <w:t xml:space="preserve"> (quoting </w:t>
      </w:r>
      <w:hyperlink r:id="rId38" w:anchor="co_pp_sp_506_119" w:history="1">
        <w:r w:rsidRPr="00EF577A">
          <w:rPr>
            <w:i/>
            <w:iCs/>
            <w:color w:val="000000" w:themeColor="text1"/>
            <w:szCs w:val="22"/>
          </w:rPr>
          <w:t>Schnabel v. Trilegiant Corp.</w:t>
        </w:r>
        <w:r w:rsidRPr="00EF577A">
          <w:rPr>
            <w:color w:val="000000" w:themeColor="text1"/>
            <w:szCs w:val="22"/>
          </w:rPr>
          <w:t>, 697 F.3d 110, 119 (2d Cir. 2012)</w:t>
        </w:r>
      </w:hyperlink>
      <w:r w:rsidRPr="00EF577A">
        <w:rPr>
          <w:color w:val="000000" w:themeColor="text1"/>
          <w:szCs w:val="22"/>
        </w:rPr>
        <w:t xml:space="preserve">). As in </w:t>
      </w:r>
      <w:hyperlink r:id="rId39" w:history="1">
        <w:r w:rsidRPr="00EF577A">
          <w:rPr>
            <w:i/>
            <w:iCs/>
            <w:color w:val="000000" w:themeColor="text1"/>
            <w:szCs w:val="22"/>
          </w:rPr>
          <w:t>Nguyen</w:t>
        </w:r>
      </w:hyperlink>
      <w:r w:rsidRPr="00EF577A">
        <w:rPr>
          <w:color w:val="000000" w:themeColor="text1"/>
          <w:szCs w:val="22"/>
        </w:rPr>
        <w:t xml:space="preserve">, we need not decide which State’s law governs “because both California and New York law dictate the same outcome.” </w:t>
      </w:r>
      <w:hyperlink r:id="rId40" w:anchor="co_pp_sp_506_1175" w:history="1">
        <w:r w:rsidRPr="00EF577A">
          <w:rPr>
            <w:color w:val="000000" w:themeColor="text1"/>
            <w:szCs w:val="22"/>
          </w:rPr>
          <w:t>763 F.3d at 1175</w:t>
        </w:r>
      </w:hyperlink>
      <w:r w:rsidRPr="00EF577A">
        <w:rPr>
          <w:color w:val="000000" w:themeColor="text1"/>
          <w:szCs w:val="22"/>
        </w:rPr>
        <w:t>.</w:t>
      </w:r>
    </w:p>
    <w:p w14:paraId="61F30777"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lastRenderedPageBreak/>
        <w:t> </w:t>
      </w:r>
    </w:p>
    <w:p w14:paraId="43725A70" w14:textId="77777777" w:rsidR="00F855B6" w:rsidRPr="00EF577A" w:rsidRDefault="00F855B6" w:rsidP="00F855B6">
      <w:pPr>
        <w:widowControl w:val="0"/>
        <w:autoSpaceDE w:val="0"/>
        <w:autoSpaceDN w:val="0"/>
        <w:adjustRightInd w:val="0"/>
        <w:jc w:val="both"/>
        <w:rPr>
          <w:color w:val="000000" w:themeColor="text1"/>
          <w:szCs w:val="22"/>
        </w:rPr>
      </w:pPr>
      <w:bookmarkStart w:id="57" w:name="co_anchor_B72055884132_1"/>
      <w:bookmarkStart w:id="58" w:name="co_anchor_B82055884132_1"/>
      <w:bookmarkEnd w:id="57"/>
      <w:bookmarkEnd w:id="58"/>
      <w:r w:rsidRPr="00EF577A">
        <w:rPr>
          <w:color w:val="000000" w:themeColor="text1"/>
          <w:szCs w:val="22"/>
        </w:rPr>
        <w:t xml:space="preserve">To form a contract under New York or California law, the parties must manifest their mutual assent to the terms of the agreement. </w:t>
      </w:r>
      <w:r w:rsidRPr="00EF577A">
        <w:rPr>
          <w:i/>
          <w:iCs/>
          <w:color w:val="000000" w:themeColor="text1"/>
          <w:szCs w:val="22"/>
        </w:rPr>
        <w:t xml:space="preserve">See </w:t>
      </w:r>
      <w:hyperlink r:id="rId41" w:history="1">
        <w:r w:rsidRPr="00EF577A">
          <w:rPr>
            <w:i/>
            <w:iCs/>
            <w:color w:val="000000" w:themeColor="text1"/>
            <w:szCs w:val="22"/>
          </w:rPr>
          <w:t>id.</w:t>
        </w:r>
      </w:hyperlink>
      <w:r w:rsidRPr="00EF577A">
        <w:rPr>
          <w:color w:val="000000" w:themeColor="text1"/>
          <w:szCs w:val="22"/>
        </w:rPr>
        <w:t xml:space="preserve"> (applying New York law); </w:t>
      </w:r>
      <w:hyperlink r:id="rId42" w:anchor="co_pp_sp_506_29" w:history="1">
        <w:r w:rsidRPr="00EF577A">
          <w:rPr>
            <w:i/>
            <w:iCs/>
            <w:color w:val="000000" w:themeColor="text1"/>
            <w:szCs w:val="22"/>
          </w:rPr>
          <w:t>Specht v. Netscape Communications Corp.</w:t>
        </w:r>
        <w:r w:rsidRPr="00EF577A">
          <w:rPr>
            <w:color w:val="000000" w:themeColor="text1"/>
            <w:szCs w:val="22"/>
          </w:rPr>
          <w:t>, 306 F.3d 17, 29 (2d Cir. 2002) (applying California law)</w:t>
        </w:r>
      </w:hyperlink>
      <w:r w:rsidRPr="00EF577A">
        <w:rPr>
          <w:color w:val="000000" w:themeColor="text1"/>
          <w:szCs w:val="22"/>
        </w:rPr>
        <w:t xml:space="preserve">. Parties traditionally manifest assent by written or spoken word, but they can also do so through conduct. </w:t>
      </w:r>
      <w:hyperlink r:id="rId43" w:anchor="co_pp_sp_506_29" w:history="1">
        <w:r w:rsidRPr="00EF577A">
          <w:rPr>
            <w:i/>
            <w:iCs/>
            <w:color w:val="000000" w:themeColor="text1"/>
            <w:szCs w:val="22"/>
          </w:rPr>
          <w:t>Specht</w:t>
        </w:r>
        <w:r w:rsidRPr="00EF577A">
          <w:rPr>
            <w:color w:val="000000" w:themeColor="text1"/>
            <w:szCs w:val="22"/>
          </w:rPr>
          <w:t>, 306 F.3d at 29</w:t>
        </w:r>
      </w:hyperlink>
      <w:r w:rsidRPr="00EF577A">
        <w:rPr>
          <w:color w:val="000000" w:themeColor="text1"/>
          <w:szCs w:val="22"/>
        </w:rPr>
        <w:t xml:space="preserve">. However, “[t]he conduct of a party is not effective as a manifestation of his assent unless he intends to engage in the conduct and knows or has reason to know that the other party may infer from his conduct that he </w:t>
      </w:r>
      <w:proofErr w:type="spellStart"/>
      <w:r w:rsidRPr="00EF577A">
        <w:rPr>
          <w:color w:val="000000" w:themeColor="text1"/>
          <w:szCs w:val="22"/>
        </w:rPr>
        <w:t>assents</w:t>
      </w:r>
      <w:proofErr w:type="spellEnd"/>
      <w:r w:rsidRPr="00EF577A">
        <w:rPr>
          <w:color w:val="000000" w:themeColor="text1"/>
          <w:szCs w:val="22"/>
        </w:rPr>
        <w:t xml:space="preserve">.” </w:t>
      </w:r>
      <w:hyperlink r:id="rId44" w:history="1">
        <w:r w:rsidRPr="00EF577A">
          <w:rPr>
            <w:color w:val="000000" w:themeColor="text1"/>
            <w:szCs w:val="22"/>
          </w:rPr>
          <w:t>Restatement (Second) of Contracts § 19(2) (1981)</w:t>
        </w:r>
      </w:hyperlink>
      <w:r w:rsidRPr="00EF577A">
        <w:rPr>
          <w:color w:val="000000" w:themeColor="text1"/>
          <w:szCs w:val="22"/>
        </w:rPr>
        <w:t>.</w:t>
      </w:r>
    </w:p>
    <w:p w14:paraId="15045E58"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63A41FC5" w14:textId="77777777" w:rsidR="00F855B6" w:rsidRPr="00EF577A" w:rsidRDefault="00F855B6" w:rsidP="00F855B6">
      <w:pPr>
        <w:widowControl w:val="0"/>
        <w:autoSpaceDE w:val="0"/>
        <w:autoSpaceDN w:val="0"/>
        <w:adjustRightInd w:val="0"/>
        <w:jc w:val="both"/>
        <w:rPr>
          <w:color w:val="000000" w:themeColor="text1"/>
          <w:szCs w:val="22"/>
        </w:rPr>
      </w:pPr>
      <w:bookmarkStart w:id="59" w:name="co_anchor_B92055884132_1"/>
      <w:bookmarkStart w:id="60" w:name="co_anchor_B102055884132_1"/>
      <w:bookmarkEnd w:id="59"/>
      <w:bookmarkEnd w:id="60"/>
      <w:r w:rsidRPr="00EF577A">
        <w:rPr>
          <w:color w:val="000000" w:themeColor="text1"/>
          <w:szCs w:val="22"/>
        </w:rPr>
        <w:t xml:space="preserve">These elemental principles of contract formation apply with equal force </w:t>
      </w:r>
      <w:bookmarkStart w:id="61" w:name="co_pp_sp_8173_856_1"/>
      <w:bookmarkEnd w:id="61"/>
      <w:r w:rsidRPr="00EF577A">
        <w:rPr>
          <w:color w:val="000000" w:themeColor="text1"/>
          <w:szCs w:val="22"/>
        </w:rPr>
        <w:t>to contracts formed online. Thus, if a website offers contractual terms to those who use the site, and a user engages in conduct that manifests her acceptance of those terms, an enforceable agreement can be formed.</w:t>
      </w:r>
    </w:p>
    <w:p w14:paraId="2A63C58C"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509E64CC"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The most straightforward application of these principles in the online world involves so-called “clickwrap” agreements, in which a website presents users with specified contractual terms on a pop-up screen and users must check a box explicitly stating “I agree” in order to proceed. </w:t>
      </w:r>
      <w:r w:rsidRPr="00EF577A">
        <w:rPr>
          <w:i/>
          <w:iCs/>
          <w:color w:val="000000" w:themeColor="text1"/>
          <w:szCs w:val="22"/>
        </w:rPr>
        <w:t xml:space="preserve">See </w:t>
      </w:r>
      <w:hyperlink r:id="rId45" w:anchor="co_pp_sp_506_1175" w:history="1">
        <w:r w:rsidRPr="00EF577A">
          <w:rPr>
            <w:i/>
            <w:iCs/>
            <w:color w:val="000000" w:themeColor="text1"/>
            <w:szCs w:val="22"/>
          </w:rPr>
          <w:t>Nguyen</w:t>
        </w:r>
        <w:r w:rsidRPr="00EF577A">
          <w:rPr>
            <w:color w:val="000000" w:themeColor="text1"/>
            <w:szCs w:val="22"/>
          </w:rPr>
          <w:t>, 763 F.3d at 1175–76</w:t>
        </w:r>
      </w:hyperlink>
      <w:r w:rsidRPr="00EF577A">
        <w:rPr>
          <w:color w:val="000000" w:themeColor="text1"/>
          <w:szCs w:val="22"/>
        </w:rPr>
        <w:t xml:space="preserve">. In that scenario, the consumer has received notice of the terms being offered and, in the words of the Restatement, “knows or has reason to know that the other party may infer from his conduct that he assents” to those terms. </w:t>
      </w:r>
      <w:hyperlink r:id="rId46" w:history="1">
        <w:r w:rsidRPr="00EF577A">
          <w:rPr>
            <w:color w:val="000000" w:themeColor="text1"/>
            <w:szCs w:val="22"/>
          </w:rPr>
          <w:t>Restatement (Second) of Contracts § 19(2)</w:t>
        </w:r>
      </w:hyperlink>
      <w:r w:rsidRPr="00EF577A">
        <w:rPr>
          <w:color w:val="000000" w:themeColor="text1"/>
          <w:szCs w:val="22"/>
        </w:rPr>
        <w:t xml:space="preserve">. As a result, courts have routinely found clickwrap agreements enforceable. </w:t>
      </w:r>
      <w:r w:rsidRPr="00EF577A">
        <w:rPr>
          <w:i/>
          <w:iCs/>
          <w:color w:val="000000" w:themeColor="text1"/>
          <w:szCs w:val="22"/>
        </w:rPr>
        <w:t xml:space="preserve">See </w:t>
      </w:r>
      <w:hyperlink r:id="rId47" w:anchor="co_pp_sp_506_75" w:history="1">
        <w:r w:rsidRPr="00EF577A">
          <w:rPr>
            <w:i/>
            <w:iCs/>
            <w:color w:val="000000" w:themeColor="text1"/>
            <w:szCs w:val="22"/>
          </w:rPr>
          <w:t>Meyer</w:t>
        </w:r>
        <w:r w:rsidRPr="00EF577A">
          <w:rPr>
            <w:color w:val="000000" w:themeColor="text1"/>
            <w:szCs w:val="22"/>
          </w:rPr>
          <w:t>, 868 F.3d at 75</w:t>
        </w:r>
      </w:hyperlink>
      <w:r w:rsidRPr="00EF577A">
        <w:rPr>
          <w:color w:val="000000" w:themeColor="text1"/>
          <w:szCs w:val="22"/>
        </w:rPr>
        <w:t>.</w:t>
      </w:r>
    </w:p>
    <w:p w14:paraId="678DD740"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478796BB"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At the other end of the spectrum are so-called “</w:t>
      </w:r>
      <w:proofErr w:type="spellStart"/>
      <w:r w:rsidRPr="00EF577A">
        <w:rPr>
          <w:color w:val="000000" w:themeColor="text1"/>
          <w:szCs w:val="22"/>
        </w:rPr>
        <w:t>browsewrap</w:t>
      </w:r>
      <w:proofErr w:type="spellEnd"/>
      <w:r w:rsidRPr="00EF577A">
        <w:rPr>
          <w:color w:val="000000" w:themeColor="text1"/>
          <w:szCs w:val="22"/>
        </w:rPr>
        <w:t xml:space="preserve">” agreements, in which a website offers terms that are disclosed only through a hyperlink and the user supposedly manifests assent to those terms simply by continuing to use the website. </w:t>
      </w:r>
      <w:r w:rsidRPr="00EF577A">
        <w:rPr>
          <w:i/>
          <w:iCs/>
          <w:color w:val="000000" w:themeColor="text1"/>
          <w:szCs w:val="22"/>
        </w:rPr>
        <w:t xml:space="preserve">See </w:t>
      </w:r>
      <w:hyperlink r:id="rId48" w:anchor="co_pp_sp_506_1176" w:history="1">
        <w:r w:rsidRPr="00EF577A">
          <w:rPr>
            <w:i/>
            <w:iCs/>
            <w:color w:val="000000" w:themeColor="text1"/>
            <w:szCs w:val="22"/>
          </w:rPr>
          <w:t>Nguyen</w:t>
        </w:r>
        <w:r w:rsidRPr="00EF577A">
          <w:rPr>
            <w:color w:val="000000" w:themeColor="text1"/>
            <w:szCs w:val="22"/>
          </w:rPr>
          <w:t>, 763 F.3d at 1176</w:t>
        </w:r>
      </w:hyperlink>
      <w:r w:rsidRPr="00EF577A">
        <w:rPr>
          <w:color w:val="000000" w:themeColor="text1"/>
          <w:szCs w:val="22"/>
        </w:rPr>
        <w:t xml:space="preserve">. Courts are more reluctant to enforce </w:t>
      </w:r>
      <w:proofErr w:type="spellStart"/>
      <w:r w:rsidRPr="00EF577A">
        <w:rPr>
          <w:color w:val="000000" w:themeColor="text1"/>
          <w:szCs w:val="22"/>
        </w:rPr>
        <w:t>browsewrap</w:t>
      </w:r>
      <w:proofErr w:type="spellEnd"/>
      <w:r w:rsidRPr="00EF577A">
        <w:rPr>
          <w:color w:val="000000" w:themeColor="text1"/>
          <w:szCs w:val="22"/>
        </w:rPr>
        <w:t xml:space="preserve"> agreements because consumers are frequently left unaware that contractual terms were even offered, much less that continued use of the website will be deemed to manifest acceptance of those terms. </w:t>
      </w:r>
      <w:hyperlink r:id="rId49" w:anchor="co_pp_sp_506_1178" w:history="1">
        <w:r w:rsidRPr="00EF577A">
          <w:rPr>
            <w:i/>
            <w:iCs/>
            <w:color w:val="000000" w:themeColor="text1"/>
            <w:szCs w:val="22"/>
          </w:rPr>
          <w:t>Id.</w:t>
        </w:r>
        <w:r w:rsidRPr="00EF577A">
          <w:rPr>
            <w:color w:val="000000" w:themeColor="text1"/>
            <w:szCs w:val="22"/>
          </w:rPr>
          <w:t xml:space="preserve"> at 1178</w:t>
        </w:r>
      </w:hyperlink>
      <w:r w:rsidRPr="00EF577A">
        <w:rPr>
          <w:color w:val="000000" w:themeColor="text1"/>
          <w:szCs w:val="22"/>
        </w:rPr>
        <w:t xml:space="preserve"> (noting “courts’ traditional reluctance to enforce </w:t>
      </w:r>
      <w:proofErr w:type="spellStart"/>
      <w:r w:rsidRPr="00EF577A">
        <w:rPr>
          <w:color w:val="000000" w:themeColor="text1"/>
          <w:szCs w:val="22"/>
        </w:rPr>
        <w:t>browsewrap</w:t>
      </w:r>
      <w:proofErr w:type="spellEnd"/>
      <w:r w:rsidRPr="00EF577A">
        <w:rPr>
          <w:color w:val="000000" w:themeColor="text1"/>
          <w:szCs w:val="22"/>
        </w:rPr>
        <w:t xml:space="preserve"> agreements against individual consumers”).</w:t>
      </w:r>
    </w:p>
    <w:p w14:paraId="37AE4DAA"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4E64268" w14:textId="77777777" w:rsidR="00F855B6" w:rsidRPr="00EF577A" w:rsidRDefault="00F855B6" w:rsidP="00F855B6">
      <w:pPr>
        <w:widowControl w:val="0"/>
        <w:autoSpaceDE w:val="0"/>
        <w:autoSpaceDN w:val="0"/>
        <w:adjustRightInd w:val="0"/>
        <w:jc w:val="both"/>
        <w:rPr>
          <w:color w:val="000000" w:themeColor="text1"/>
          <w:szCs w:val="22"/>
        </w:rPr>
      </w:pPr>
      <w:bookmarkStart w:id="62" w:name="co_anchor_B112055884132_1"/>
      <w:bookmarkEnd w:id="62"/>
      <w:r w:rsidRPr="00EF577A">
        <w:rPr>
          <w:color w:val="000000" w:themeColor="text1"/>
          <w:szCs w:val="22"/>
        </w:rPr>
        <w:t xml:space="preserve">To avoid the unfairness of enforcing contractual terms that consumers never intended to accept, courts confronted with online agreements such as those at issue here have devised rules to determine whether meaningful assent has been given. Unless the website operator can show that a consumer has actual knowledge of the agreement, an enforceable contract will be found based on an inquiry notice theory only if: (1) the website provides reasonably conspicuous notice of the terms to which the consumer will be bound; and (2) the consumer takes some action, such as clicking a button or checking a box, that unambiguously manifests his or her assent to those terms. </w:t>
      </w:r>
      <w:r w:rsidRPr="00EF577A">
        <w:rPr>
          <w:i/>
          <w:iCs/>
          <w:color w:val="000000" w:themeColor="text1"/>
          <w:szCs w:val="22"/>
        </w:rPr>
        <w:t xml:space="preserve">See </w:t>
      </w:r>
      <w:hyperlink r:id="rId50" w:anchor="co_pp_sp_506_75" w:history="1">
        <w:r w:rsidRPr="00EF577A">
          <w:rPr>
            <w:i/>
            <w:iCs/>
            <w:color w:val="000000" w:themeColor="text1"/>
            <w:szCs w:val="22"/>
          </w:rPr>
          <w:t>Meyer</w:t>
        </w:r>
        <w:r w:rsidRPr="00EF577A">
          <w:rPr>
            <w:color w:val="000000" w:themeColor="text1"/>
            <w:szCs w:val="22"/>
          </w:rPr>
          <w:t>, 868 F.3d at 75</w:t>
        </w:r>
      </w:hyperlink>
      <w:r w:rsidRPr="00EF577A">
        <w:rPr>
          <w:color w:val="000000" w:themeColor="text1"/>
          <w:szCs w:val="22"/>
        </w:rPr>
        <w:t xml:space="preserve">; </w:t>
      </w:r>
      <w:hyperlink r:id="rId51" w:anchor="co_pp_sp_506_1173" w:history="1">
        <w:r w:rsidRPr="00EF577A">
          <w:rPr>
            <w:i/>
            <w:iCs/>
            <w:color w:val="000000" w:themeColor="text1"/>
            <w:szCs w:val="22"/>
          </w:rPr>
          <w:t>Nguyen</w:t>
        </w:r>
        <w:r w:rsidRPr="00EF577A">
          <w:rPr>
            <w:color w:val="000000" w:themeColor="text1"/>
            <w:szCs w:val="22"/>
          </w:rPr>
          <w:t>, 763 F.3d at 1173</w:t>
        </w:r>
      </w:hyperlink>
      <w:r w:rsidRPr="00EF577A">
        <w:rPr>
          <w:color w:val="000000" w:themeColor="text1"/>
          <w:szCs w:val="22"/>
        </w:rPr>
        <w:t xml:space="preserve"> (refusing to enforce an arbitration provision to which the consumer “did not unambiguously manifest assent”). As the Second Circuit has explained, “[r]</w:t>
      </w:r>
      <w:proofErr w:type="spellStart"/>
      <w:r w:rsidRPr="00EF577A">
        <w:rPr>
          <w:color w:val="000000" w:themeColor="text1"/>
          <w:szCs w:val="22"/>
        </w:rPr>
        <w:t>easonably</w:t>
      </w:r>
      <w:proofErr w:type="spellEnd"/>
      <w:r w:rsidRPr="00EF577A">
        <w:rPr>
          <w:color w:val="000000" w:themeColor="text1"/>
          <w:szCs w:val="22"/>
        </w:rPr>
        <w:t xml:space="preserve"> conspicuous notice of the existence of contract terms and unambiguous manifestation of assent to those terms by consumers are essential if electronic bargaining is to have integrity and credibility.” </w:t>
      </w:r>
      <w:hyperlink r:id="rId52" w:anchor="co_pp_sp_506_35" w:history="1">
        <w:r w:rsidRPr="00EF577A">
          <w:rPr>
            <w:i/>
            <w:iCs/>
            <w:color w:val="000000" w:themeColor="text1"/>
            <w:szCs w:val="22"/>
          </w:rPr>
          <w:t>Specht</w:t>
        </w:r>
        <w:r w:rsidRPr="00EF577A">
          <w:rPr>
            <w:color w:val="000000" w:themeColor="text1"/>
            <w:szCs w:val="22"/>
          </w:rPr>
          <w:t>, 306 F.3d at 35</w:t>
        </w:r>
      </w:hyperlink>
      <w:r w:rsidRPr="00EF577A">
        <w:rPr>
          <w:color w:val="000000" w:themeColor="text1"/>
          <w:szCs w:val="22"/>
        </w:rPr>
        <w:t>.</w:t>
      </w:r>
    </w:p>
    <w:p w14:paraId="008E6CD9"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72F264DF"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lastRenderedPageBreak/>
        <w:t>Defendants did not contend, in their motion to compel arbitration, that plaintiffs had actual knowledge of an agreement to arbitrate. And, as explained below, defendants failed to show that either of the conditions necessary for finding an enforceable agreement based on inquiry notice were satisfied.</w:t>
      </w:r>
    </w:p>
    <w:p w14:paraId="5814A703"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2B5807F7" w14:textId="77777777" w:rsidR="00F855B6" w:rsidRPr="00EF577A" w:rsidRDefault="00F855B6" w:rsidP="00F855B6">
      <w:pPr>
        <w:widowControl w:val="0"/>
        <w:autoSpaceDE w:val="0"/>
        <w:autoSpaceDN w:val="0"/>
        <w:adjustRightInd w:val="0"/>
        <w:jc w:val="both"/>
        <w:rPr>
          <w:color w:val="000000" w:themeColor="text1"/>
          <w:szCs w:val="22"/>
        </w:rPr>
      </w:pPr>
      <w:bookmarkStart w:id="63" w:name="co_anchor_B122055884132_1"/>
      <w:bookmarkStart w:id="64" w:name="co_anchor_B132055884132_1"/>
      <w:bookmarkEnd w:id="63"/>
      <w:bookmarkEnd w:id="64"/>
      <w:r w:rsidRPr="00EF577A">
        <w:rPr>
          <w:i/>
          <w:iCs/>
          <w:color w:val="000000" w:themeColor="text1"/>
          <w:szCs w:val="22"/>
        </w:rPr>
        <w:t>Reasonably conspicuous notice.</w:t>
      </w:r>
      <w:r w:rsidRPr="00EF577A">
        <w:rPr>
          <w:color w:val="000000" w:themeColor="text1"/>
          <w:szCs w:val="22"/>
        </w:rPr>
        <w:t xml:space="preserve"> The webpages reproduced in Appendix A and Appendix B did not provide reasonably conspicuous notice of the terms and conditions for two reasons. First, to be conspicuous in this context, a notice must be displayed in a font size and format such that the court can fairly assume that a reasonably prudent Internet user would have seen it. </w:t>
      </w:r>
      <w:r w:rsidRPr="00EF577A">
        <w:rPr>
          <w:i/>
          <w:iCs/>
          <w:color w:val="000000" w:themeColor="text1"/>
          <w:szCs w:val="22"/>
        </w:rPr>
        <w:t xml:space="preserve">See </w:t>
      </w:r>
      <w:hyperlink r:id="rId53" w:anchor="co_pp_sp_506_30" w:history="1">
        <w:r w:rsidRPr="00EF577A">
          <w:rPr>
            <w:i/>
            <w:iCs/>
            <w:color w:val="000000" w:themeColor="text1"/>
            <w:szCs w:val="22"/>
          </w:rPr>
          <w:t>id.</w:t>
        </w:r>
        <w:r w:rsidRPr="00EF577A">
          <w:rPr>
            <w:color w:val="000000" w:themeColor="text1"/>
            <w:szCs w:val="22"/>
          </w:rPr>
          <w:t xml:space="preserve"> at 30</w:t>
        </w:r>
      </w:hyperlink>
      <w:r w:rsidRPr="00EF577A">
        <w:rPr>
          <w:color w:val="000000" w:themeColor="text1"/>
          <w:szCs w:val="22"/>
        </w:rPr>
        <w:t xml:space="preserve">; </w:t>
      </w:r>
      <w:hyperlink r:id="rId54" w:anchor="co_pp_sp_506_1177" w:history="1">
        <w:r w:rsidRPr="00EF577A">
          <w:rPr>
            <w:i/>
            <w:iCs/>
            <w:color w:val="000000" w:themeColor="text1"/>
            <w:szCs w:val="22"/>
          </w:rPr>
          <w:t>Nguyen</w:t>
        </w:r>
        <w:r w:rsidRPr="00EF577A">
          <w:rPr>
            <w:color w:val="000000" w:themeColor="text1"/>
            <w:szCs w:val="22"/>
          </w:rPr>
          <w:t>, 763 F.3d at 1177</w:t>
        </w:r>
      </w:hyperlink>
      <w:r w:rsidRPr="00EF577A">
        <w:rPr>
          <w:color w:val="000000" w:themeColor="text1"/>
          <w:szCs w:val="22"/>
        </w:rPr>
        <w:t xml:space="preserve">. The text disclosing the existence of the terms and conditions on these websites is the antithesis of conspicuous. It is printed in a tiny gray font considerably smaller than the font used in the surrounding website elements, and indeed in a font so small that it is barely legible to the </w:t>
      </w:r>
      <w:bookmarkStart w:id="65" w:name="co_pp_sp_8173_857_1"/>
      <w:bookmarkEnd w:id="65"/>
      <w:r w:rsidRPr="00EF577A">
        <w:rPr>
          <w:color w:val="000000" w:themeColor="text1"/>
          <w:szCs w:val="22"/>
        </w:rPr>
        <w:t xml:space="preserve">naked eye. The comparatively larger font used in all of the surrounding text naturally directs the user’s attention everywhere else. And the textual notice is further deemphasized by the overall design of the webpage, in which other visual elements draw the user’s attention away from the barely readable critical text. Far from meeting the requirement that a webpage must take steps “to capture the user’s attention and secure her assent,” the design and content of these webpages draw the user’s attention away from the most important part of the page. </w:t>
      </w:r>
      <w:hyperlink r:id="rId55" w:anchor="co_pp_sp_506_1178" w:history="1">
        <w:r w:rsidRPr="00EF577A">
          <w:rPr>
            <w:i/>
            <w:iCs/>
            <w:color w:val="000000" w:themeColor="text1"/>
            <w:szCs w:val="22"/>
          </w:rPr>
          <w:t>Nguyen</w:t>
        </w:r>
        <w:r w:rsidRPr="00EF577A">
          <w:rPr>
            <w:color w:val="000000" w:themeColor="text1"/>
            <w:szCs w:val="22"/>
          </w:rPr>
          <w:t>, 763 F.3d at 1178 n.1</w:t>
        </w:r>
      </w:hyperlink>
      <w:r w:rsidRPr="00EF577A">
        <w:rPr>
          <w:color w:val="000000" w:themeColor="text1"/>
          <w:szCs w:val="22"/>
        </w:rPr>
        <w:t>.</w:t>
      </w:r>
    </w:p>
    <w:p w14:paraId="6B365B74"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1F5F7158" w14:textId="77777777" w:rsidR="00F855B6" w:rsidRPr="00EF577A" w:rsidRDefault="00F855B6" w:rsidP="00F855B6">
      <w:pPr>
        <w:widowControl w:val="0"/>
        <w:autoSpaceDE w:val="0"/>
        <w:autoSpaceDN w:val="0"/>
        <w:adjustRightInd w:val="0"/>
        <w:jc w:val="both"/>
        <w:rPr>
          <w:color w:val="000000" w:themeColor="text1"/>
          <w:szCs w:val="22"/>
        </w:rPr>
      </w:pPr>
      <w:bookmarkStart w:id="66" w:name="co_anchor_B142055884132_1"/>
      <w:bookmarkEnd w:id="66"/>
      <w:r w:rsidRPr="00EF577A">
        <w:rPr>
          <w:color w:val="000000" w:themeColor="text1"/>
          <w:szCs w:val="22"/>
        </w:rPr>
        <w:t xml:space="preserve">Website users are entitled to assume that important provisions—such as those that disclose the existence of proposed contractual terms—will be prominently displayed, not buried in fine print. Because “online providers have complete control over the design of their websites,” </w:t>
      </w:r>
      <w:hyperlink r:id="rId56" w:anchor="co_pp_sp_7047_16" w:history="1">
        <w:r w:rsidRPr="00EF577A">
          <w:rPr>
            <w:i/>
            <w:iCs/>
            <w:color w:val="000000" w:themeColor="text1"/>
            <w:szCs w:val="22"/>
          </w:rPr>
          <w:t xml:space="preserve">Sellers v. </w:t>
        </w:r>
        <w:proofErr w:type="spellStart"/>
        <w:r w:rsidRPr="00EF577A">
          <w:rPr>
            <w:i/>
            <w:iCs/>
            <w:color w:val="000000" w:themeColor="text1"/>
            <w:szCs w:val="22"/>
          </w:rPr>
          <w:t>JustAnswer</w:t>
        </w:r>
        <w:proofErr w:type="spellEnd"/>
        <w:r w:rsidRPr="00EF577A">
          <w:rPr>
            <w:i/>
            <w:iCs/>
            <w:color w:val="000000" w:themeColor="text1"/>
            <w:szCs w:val="22"/>
          </w:rPr>
          <w:t xml:space="preserve"> LLC</w:t>
        </w:r>
        <w:r w:rsidRPr="00EF577A">
          <w:rPr>
            <w:color w:val="000000" w:themeColor="text1"/>
            <w:szCs w:val="22"/>
          </w:rPr>
          <w:t xml:space="preserve">, 73 Cal.App.5th 444, 289 Cal. </w:t>
        </w:r>
        <w:proofErr w:type="spellStart"/>
        <w:r w:rsidRPr="00EF577A">
          <w:rPr>
            <w:color w:val="000000" w:themeColor="text1"/>
            <w:szCs w:val="22"/>
          </w:rPr>
          <w:t>Rptr</w:t>
        </w:r>
        <w:proofErr w:type="spellEnd"/>
        <w:r w:rsidRPr="00EF577A">
          <w:rPr>
            <w:color w:val="000000" w:themeColor="text1"/>
            <w:szCs w:val="22"/>
          </w:rPr>
          <w:t>. 3d 1, 16 (2021)</w:t>
        </w:r>
      </w:hyperlink>
      <w:r w:rsidRPr="00EF577A">
        <w:rPr>
          <w:color w:val="000000" w:themeColor="text1"/>
          <w:szCs w:val="22"/>
        </w:rPr>
        <w:t xml:space="preserve">, “the onus must be on website owners to put users on notice of the terms to which they wish to bind consumers,” </w:t>
      </w:r>
      <w:hyperlink r:id="rId57" w:anchor="co_pp_sp_506_1179" w:history="1">
        <w:r w:rsidRPr="00EF577A">
          <w:rPr>
            <w:i/>
            <w:iCs/>
            <w:color w:val="000000" w:themeColor="text1"/>
            <w:szCs w:val="22"/>
          </w:rPr>
          <w:t>Nguyen</w:t>
        </w:r>
        <w:r w:rsidRPr="00EF577A">
          <w:rPr>
            <w:color w:val="000000" w:themeColor="text1"/>
            <w:szCs w:val="22"/>
          </w:rPr>
          <w:t>, 763 F.3d at 1179</w:t>
        </w:r>
      </w:hyperlink>
      <w:r w:rsidRPr="00EF577A">
        <w:rPr>
          <w:color w:val="000000" w:themeColor="text1"/>
          <w:szCs w:val="22"/>
        </w:rPr>
        <w:t>. The designer of the webpages at issue here did not take that obligation to heart.</w:t>
      </w:r>
    </w:p>
    <w:p w14:paraId="2B8C0EB8"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71D62D7" w14:textId="77777777" w:rsidR="00F855B6" w:rsidRPr="00EF577A" w:rsidRDefault="00F855B6" w:rsidP="00F855B6">
      <w:pPr>
        <w:widowControl w:val="0"/>
        <w:autoSpaceDE w:val="0"/>
        <w:autoSpaceDN w:val="0"/>
        <w:adjustRightInd w:val="0"/>
        <w:jc w:val="both"/>
        <w:rPr>
          <w:color w:val="000000" w:themeColor="text1"/>
          <w:szCs w:val="22"/>
        </w:rPr>
      </w:pPr>
      <w:bookmarkStart w:id="67" w:name="co_anchor_B152055884132_1"/>
      <w:bookmarkEnd w:id="67"/>
      <w:r w:rsidRPr="00EF577A">
        <w:rPr>
          <w:color w:val="000000" w:themeColor="text1"/>
          <w:szCs w:val="22"/>
        </w:rPr>
        <w:t xml:space="preserve">Second, while it is permissible to disclose terms and conditions through a hyperlink, the fact that a hyperlink is present must be readily apparent. Simply underscoring words or phrases, as in the webpages at issue here, will often be insufficient to alert a reasonably prudent user that a clickable link exists. </w:t>
      </w:r>
      <w:r w:rsidRPr="00EF577A">
        <w:rPr>
          <w:i/>
          <w:iCs/>
          <w:color w:val="000000" w:themeColor="text1"/>
          <w:szCs w:val="22"/>
        </w:rPr>
        <w:t xml:space="preserve">See </w:t>
      </w:r>
      <w:hyperlink r:id="rId58" w:anchor="co_pp_sp_7047_29" w:history="1">
        <w:r w:rsidRPr="00EF577A">
          <w:rPr>
            <w:i/>
            <w:iCs/>
            <w:color w:val="000000" w:themeColor="text1"/>
            <w:szCs w:val="22"/>
          </w:rPr>
          <w:t>Sellers</w:t>
        </w:r>
        <w:r w:rsidRPr="00EF577A">
          <w:rPr>
            <w:color w:val="000000" w:themeColor="text1"/>
            <w:szCs w:val="22"/>
          </w:rPr>
          <w:t xml:space="preserve">, 289 Cal. </w:t>
        </w:r>
        <w:proofErr w:type="spellStart"/>
        <w:r w:rsidRPr="00EF577A">
          <w:rPr>
            <w:color w:val="000000" w:themeColor="text1"/>
            <w:szCs w:val="22"/>
          </w:rPr>
          <w:t>Rptr</w:t>
        </w:r>
        <w:proofErr w:type="spellEnd"/>
        <w:r w:rsidRPr="00EF577A">
          <w:rPr>
            <w:color w:val="000000" w:themeColor="text1"/>
            <w:szCs w:val="22"/>
          </w:rPr>
          <w:t>. 3d at 29</w:t>
        </w:r>
      </w:hyperlink>
      <w:r w:rsidRPr="00EF577A">
        <w:rPr>
          <w:color w:val="000000" w:themeColor="text1"/>
          <w:szCs w:val="22"/>
        </w:rPr>
        <w:t xml:space="preserve">. Because our inquiry notice standard demands conspicuousness tailored to the reasonably prudent Internet user, not to the expert user, the design of the hyperlinks must put such a user on notice of their existence. </w:t>
      </w:r>
      <w:hyperlink r:id="rId59" w:anchor="co_pp_sp_506_1177" w:history="1">
        <w:r w:rsidRPr="00EF577A">
          <w:rPr>
            <w:i/>
            <w:iCs/>
            <w:color w:val="000000" w:themeColor="text1"/>
            <w:szCs w:val="22"/>
          </w:rPr>
          <w:t>Nguyen</w:t>
        </w:r>
        <w:r w:rsidRPr="00EF577A">
          <w:rPr>
            <w:color w:val="000000" w:themeColor="text1"/>
            <w:szCs w:val="22"/>
          </w:rPr>
          <w:t>, 763 F.3d at 1177, 1179</w:t>
        </w:r>
      </w:hyperlink>
      <w:r w:rsidRPr="00EF577A">
        <w:rPr>
          <w:color w:val="000000" w:themeColor="text1"/>
          <w:szCs w:val="22"/>
        </w:rPr>
        <w:t>.</w:t>
      </w:r>
    </w:p>
    <w:p w14:paraId="7D659C35"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E268FBF" w14:textId="77777777" w:rsidR="00F855B6" w:rsidRPr="00EF577A" w:rsidRDefault="00F855B6" w:rsidP="00F855B6">
      <w:pPr>
        <w:widowControl w:val="0"/>
        <w:autoSpaceDE w:val="0"/>
        <w:autoSpaceDN w:val="0"/>
        <w:adjustRightInd w:val="0"/>
        <w:jc w:val="both"/>
        <w:rPr>
          <w:color w:val="000000" w:themeColor="text1"/>
          <w:szCs w:val="22"/>
        </w:rPr>
      </w:pPr>
      <w:bookmarkStart w:id="68" w:name="co_anchor_B162055884132_1"/>
      <w:bookmarkEnd w:id="68"/>
      <w:r w:rsidRPr="00EF577A">
        <w:rPr>
          <w:color w:val="000000" w:themeColor="text1"/>
          <w:szCs w:val="22"/>
        </w:rPr>
        <w:t xml:space="preserve">A web designer must do more than simply underscore the hyperlinked text in order to ensure that it is sufficiently “set apart” from the surrounding text. </w:t>
      </w:r>
      <w:hyperlink r:id="rId60" w:anchor="co_pp_sp_7047_29" w:history="1">
        <w:r w:rsidRPr="00EF577A">
          <w:rPr>
            <w:i/>
            <w:iCs/>
            <w:color w:val="000000" w:themeColor="text1"/>
            <w:szCs w:val="22"/>
          </w:rPr>
          <w:t>Sellers</w:t>
        </w:r>
        <w:r w:rsidRPr="00EF577A">
          <w:rPr>
            <w:color w:val="000000" w:themeColor="text1"/>
            <w:szCs w:val="22"/>
          </w:rPr>
          <w:t xml:space="preserve">, 289 Cal. </w:t>
        </w:r>
        <w:proofErr w:type="spellStart"/>
        <w:r w:rsidRPr="00EF577A">
          <w:rPr>
            <w:color w:val="000000" w:themeColor="text1"/>
            <w:szCs w:val="22"/>
          </w:rPr>
          <w:t>Rptr</w:t>
        </w:r>
        <w:proofErr w:type="spellEnd"/>
        <w:r w:rsidRPr="00EF577A">
          <w:rPr>
            <w:color w:val="000000" w:themeColor="text1"/>
            <w:szCs w:val="22"/>
          </w:rPr>
          <w:t>. 3d at 29</w:t>
        </w:r>
      </w:hyperlink>
      <w:r w:rsidRPr="00EF577A">
        <w:rPr>
          <w:color w:val="000000" w:themeColor="text1"/>
          <w:szCs w:val="22"/>
        </w:rPr>
        <w:t xml:space="preserve">. Customary design elements denoting the existence of a hyperlink include the use of a contrasting font color (typically blue) and the use of all capital letters, both of which can alert a user that the particular text differs from other plain text in that it provides a clickable pathway to another webpage. </w:t>
      </w:r>
      <w:r w:rsidRPr="00EF577A">
        <w:rPr>
          <w:i/>
          <w:iCs/>
          <w:color w:val="000000" w:themeColor="text1"/>
          <w:szCs w:val="22"/>
        </w:rPr>
        <w:t xml:space="preserve">See </w:t>
      </w:r>
      <w:hyperlink r:id="rId61" w:history="1">
        <w:r w:rsidRPr="00EF577A">
          <w:rPr>
            <w:i/>
            <w:iCs/>
            <w:color w:val="000000" w:themeColor="text1"/>
            <w:szCs w:val="22"/>
          </w:rPr>
          <w:t>id.</w:t>
        </w:r>
      </w:hyperlink>
      <w:r w:rsidRPr="00EF577A">
        <w:rPr>
          <w:color w:val="000000" w:themeColor="text1"/>
          <w:szCs w:val="22"/>
        </w:rPr>
        <w:t xml:space="preserve"> (finding “</w:t>
      </w:r>
      <w:r w:rsidRPr="00EF577A">
        <w:rPr>
          <w:color w:val="000000" w:themeColor="text1"/>
          <w:szCs w:val="22"/>
          <w:u w:val="single"/>
        </w:rPr>
        <w:t>Terms of Service</w:t>
      </w:r>
      <w:r w:rsidRPr="00EF577A">
        <w:rPr>
          <w:color w:val="000000" w:themeColor="text1"/>
          <w:szCs w:val="22"/>
        </w:rPr>
        <w:t xml:space="preserve">” insufficiently conspicuous because it did not use all capital letters or contrasting font color). Consumers cannot be required to hover their mouse over otherwise plain-looking text or aimlessly click on words on a page in an effort to “ferret out hyperlinks.” </w:t>
      </w:r>
      <w:hyperlink r:id="rId62" w:anchor="co_pp_sp_506_1179" w:history="1">
        <w:r w:rsidRPr="00EF577A">
          <w:rPr>
            <w:i/>
            <w:iCs/>
            <w:color w:val="000000" w:themeColor="text1"/>
            <w:szCs w:val="22"/>
          </w:rPr>
          <w:t>Nguyen</w:t>
        </w:r>
        <w:r w:rsidRPr="00EF577A">
          <w:rPr>
            <w:color w:val="000000" w:themeColor="text1"/>
            <w:szCs w:val="22"/>
          </w:rPr>
          <w:t>, 763 F.3d at 1179</w:t>
        </w:r>
      </w:hyperlink>
      <w:r w:rsidRPr="00EF577A">
        <w:rPr>
          <w:color w:val="000000" w:themeColor="text1"/>
          <w:szCs w:val="22"/>
        </w:rPr>
        <w:t xml:space="preserve">. The failure to clearly denote the hyperlinks here fails our conspicuousness test. </w:t>
      </w:r>
      <w:r w:rsidRPr="00EF577A">
        <w:rPr>
          <w:i/>
          <w:iCs/>
          <w:color w:val="000000" w:themeColor="text1"/>
          <w:szCs w:val="22"/>
        </w:rPr>
        <w:t xml:space="preserve">Cf. </w:t>
      </w:r>
      <w:hyperlink r:id="rId63" w:anchor="co_pp_sp_506_78" w:history="1">
        <w:r w:rsidRPr="00EF577A">
          <w:rPr>
            <w:i/>
            <w:iCs/>
            <w:color w:val="000000" w:themeColor="text1"/>
            <w:szCs w:val="22"/>
          </w:rPr>
          <w:t>Meyer</w:t>
        </w:r>
        <w:r w:rsidRPr="00EF577A">
          <w:rPr>
            <w:color w:val="000000" w:themeColor="text1"/>
            <w:szCs w:val="22"/>
          </w:rPr>
          <w:t xml:space="preserve">, 868 F.3d at </w:t>
        </w:r>
        <w:r w:rsidRPr="00EF577A">
          <w:rPr>
            <w:color w:val="000000" w:themeColor="text1"/>
            <w:szCs w:val="22"/>
          </w:rPr>
          <w:lastRenderedPageBreak/>
          <w:t>78–79</w:t>
        </w:r>
      </w:hyperlink>
      <w:r w:rsidRPr="00EF577A">
        <w:rPr>
          <w:color w:val="000000" w:themeColor="text1"/>
          <w:szCs w:val="22"/>
        </w:rPr>
        <w:t xml:space="preserve"> (finding hyperlinks reasonably conspicuous because they were both in blue and underlined).</w:t>
      </w:r>
    </w:p>
    <w:p w14:paraId="68655AD7"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135ADCC0" w14:textId="77777777" w:rsidR="00F855B6" w:rsidRPr="00EF577A" w:rsidRDefault="00F855B6" w:rsidP="00F855B6">
      <w:pPr>
        <w:widowControl w:val="0"/>
        <w:autoSpaceDE w:val="0"/>
        <w:autoSpaceDN w:val="0"/>
        <w:adjustRightInd w:val="0"/>
        <w:jc w:val="both"/>
        <w:rPr>
          <w:color w:val="000000" w:themeColor="text1"/>
          <w:szCs w:val="22"/>
        </w:rPr>
      </w:pPr>
      <w:bookmarkStart w:id="69" w:name="co_anchor_B172055884132_1"/>
      <w:bookmarkStart w:id="70" w:name="co_anchor_B182055884132_1"/>
      <w:bookmarkEnd w:id="69"/>
      <w:bookmarkEnd w:id="70"/>
      <w:r w:rsidRPr="00EF577A">
        <w:rPr>
          <w:i/>
          <w:iCs/>
          <w:color w:val="000000" w:themeColor="text1"/>
          <w:szCs w:val="22"/>
        </w:rPr>
        <w:t>Unambiguous manifestation of assent.</w:t>
      </w:r>
      <w:r w:rsidRPr="00EF577A">
        <w:rPr>
          <w:color w:val="000000" w:themeColor="text1"/>
          <w:szCs w:val="22"/>
        </w:rPr>
        <w:t xml:space="preserve"> In using the websites, Hernandez and Russell did not take any action that unambiguously manifested their assent to be bound by the terms and conditions. Defendants rely on plaintiffs’ act of clicking on the large green “continue” buttons as manifestation of their assent, but merely clicking on a button on a webpage, viewed in the abstract, does not signify a user’s agreement to anything. A user’s click of a button can be construed as an unambiguous manifestation of assent only if the user is explicitly advised that the act of clicking will constitute assent to the terms and conditions of an agreement. </w:t>
      </w:r>
      <w:r w:rsidRPr="00EF577A">
        <w:rPr>
          <w:i/>
          <w:iCs/>
          <w:color w:val="000000" w:themeColor="text1"/>
          <w:szCs w:val="22"/>
        </w:rPr>
        <w:t xml:space="preserve">See </w:t>
      </w:r>
      <w:hyperlink r:id="rId64" w:anchor="co_pp_sp_506_29" w:history="1">
        <w:r w:rsidRPr="00EF577A">
          <w:rPr>
            <w:i/>
            <w:iCs/>
            <w:color w:val="000000" w:themeColor="text1"/>
            <w:szCs w:val="22"/>
          </w:rPr>
          <w:t>Specht</w:t>
        </w:r>
        <w:r w:rsidRPr="00EF577A">
          <w:rPr>
            <w:color w:val="000000" w:themeColor="text1"/>
            <w:szCs w:val="22"/>
          </w:rPr>
          <w:t>, 306 F.3d at 29–30</w:t>
        </w:r>
      </w:hyperlink>
      <w:r w:rsidRPr="00EF577A">
        <w:rPr>
          <w:color w:val="000000" w:themeColor="text1"/>
          <w:szCs w:val="22"/>
        </w:rPr>
        <w:t xml:space="preserve">. The presence of “an explicit textual notice that continued use will act as a manifestation of the user’s intent to be bound” is critical to the enforceability </w:t>
      </w:r>
      <w:bookmarkStart w:id="71" w:name="co_pp_sp_8173_858_1"/>
      <w:bookmarkEnd w:id="71"/>
      <w:r w:rsidRPr="00EF577A">
        <w:rPr>
          <w:color w:val="000000" w:themeColor="text1"/>
          <w:szCs w:val="22"/>
        </w:rPr>
        <w:t xml:space="preserve">of any </w:t>
      </w:r>
      <w:proofErr w:type="spellStart"/>
      <w:r w:rsidRPr="00EF577A">
        <w:rPr>
          <w:color w:val="000000" w:themeColor="text1"/>
          <w:szCs w:val="22"/>
        </w:rPr>
        <w:t>browsewrap</w:t>
      </w:r>
      <w:proofErr w:type="spellEnd"/>
      <w:r w:rsidRPr="00EF577A">
        <w:rPr>
          <w:color w:val="000000" w:themeColor="text1"/>
          <w:szCs w:val="22"/>
        </w:rPr>
        <w:t xml:space="preserve">-type agreement. </w:t>
      </w:r>
      <w:hyperlink r:id="rId65" w:anchor="co_pp_sp_506_1177" w:history="1">
        <w:r w:rsidRPr="00EF577A">
          <w:rPr>
            <w:i/>
            <w:iCs/>
            <w:color w:val="000000" w:themeColor="text1"/>
            <w:szCs w:val="22"/>
          </w:rPr>
          <w:t>Nguyen</w:t>
        </w:r>
        <w:r w:rsidRPr="00EF577A">
          <w:rPr>
            <w:color w:val="000000" w:themeColor="text1"/>
            <w:szCs w:val="22"/>
          </w:rPr>
          <w:t>, 763 F.3d at 1177</w:t>
        </w:r>
      </w:hyperlink>
      <w:r w:rsidRPr="00EF577A">
        <w:rPr>
          <w:color w:val="000000" w:themeColor="text1"/>
          <w:szCs w:val="22"/>
        </w:rPr>
        <w:t>.</w:t>
      </w:r>
    </w:p>
    <w:p w14:paraId="1FD361C8"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0B5AF9B2"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The webpages here did provide </w:t>
      </w:r>
      <w:proofErr w:type="spellStart"/>
      <w:r w:rsidRPr="00EF577A">
        <w:rPr>
          <w:color w:val="000000" w:themeColor="text1"/>
          <w:szCs w:val="22"/>
        </w:rPr>
        <w:t>advisals</w:t>
      </w:r>
      <w:proofErr w:type="spellEnd"/>
      <w:r w:rsidRPr="00EF577A">
        <w:rPr>
          <w:color w:val="000000" w:themeColor="text1"/>
          <w:szCs w:val="22"/>
        </w:rPr>
        <w:t xml:space="preserve"> concerning the terms and conditions in proximity to the “continue” buttons. On the webpage Russell visited, the notice appeared directly above the button, and on the </w:t>
      </w:r>
      <w:proofErr w:type="gramStart"/>
      <w:r w:rsidRPr="00EF577A">
        <w:rPr>
          <w:color w:val="000000" w:themeColor="text1"/>
          <w:szCs w:val="22"/>
        </w:rPr>
        <w:t>webpage</w:t>
      </w:r>
      <w:proofErr w:type="gramEnd"/>
      <w:r w:rsidRPr="00EF577A">
        <w:rPr>
          <w:color w:val="000000" w:themeColor="text1"/>
          <w:szCs w:val="22"/>
        </w:rPr>
        <w:t xml:space="preserve"> Hernandez visited it appeared above the button separated by several intervening lines of text. But “even close proximity of the hyperlink to relevant buttons users must click on—without more—is insufficient to give rise to constructive notice.” </w:t>
      </w:r>
      <w:hyperlink r:id="rId66" w:anchor="co_pp_sp_506_1179" w:history="1">
        <w:r w:rsidRPr="00EF577A">
          <w:rPr>
            <w:i/>
            <w:iCs/>
            <w:color w:val="000000" w:themeColor="text1"/>
            <w:szCs w:val="22"/>
          </w:rPr>
          <w:t>Id.</w:t>
        </w:r>
        <w:r w:rsidRPr="00EF577A">
          <w:rPr>
            <w:color w:val="000000" w:themeColor="text1"/>
            <w:szCs w:val="22"/>
          </w:rPr>
          <w:t xml:space="preserve"> at 1179</w:t>
        </w:r>
      </w:hyperlink>
      <w:r w:rsidRPr="00EF577A">
        <w:rPr>
          <w:color w:val="000000" w:themeColor="text1"/>
          <w:szCs w:val="22"/>
        </w:rPr>
        <w:t>.</w:t>
      </w:r>
    </w:p>
    <w:p w14:paraId="3C29D271"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2B7B1C68"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Rather, the notice must explicitly notify a user of the legal significance of the action she must take to enter into a contractual agreement. The notice did not do so here. Both webpages stated, “I understand and agree to the </w:t>
      </w:r>
      <w:r w:rsidRPr="00EF577A">
        <w:rPr>
          <w:color w:val="000000" w:themeColor="text1"/>
          <w:szCs w:val="22"/>
          <w:u w:val="single"/>
        </w:rPr>
        <w:t>Terms &amp; Conditions</w:t>
      </w:r>
      <w:r w:rsidRPr="00EF577A">
        <w:rPr>
          <w:color w:val="000000" w:themeColor="text1"/>
          <w:szCs w:val="22"/>
        </w:rPr>
        <w:t xml:space="preserve">,” but they did not indicate to the user what action would constitute assent to those terms and conditions. Likewise, the text of the button itself gave no indication that it would bind plaintiffs to a set of terms and conditions. This notice defect could easily have been remedied by including language such as, “By clicking the Continue &gt;&gt; button, you agree to the </w:t>
      </w:r>
      <w:r w:rsidRPr="00EF577A">
        <w:rPr>
          <w:color w:val="000000" w:themeColor="text1"/>
          <w:szCs w:val="22"/>
          <w:u w:val="single"/>
        </w:rPr>
        <w:t>Terms &amp; Conditions</w:t>
      </w:r>
      <w:r w:rsidRPr="00EF577A">
        <w:rPr>
          <w:color w:val="000000" w:themeColor="text1"/>
          <w:szCs w:val="22"/>
        </w:rPr>
        <w:t xml:space="preserve">.” </w:t>
      </w:r>
      <w:r w:rsidRPr="00EF577A">
        <w:rPr>
          <w:i/>
          <w:iCs/>
          <w:color w:val="000000" w:themeColor="text1"/>
          <w:szCs w:val="22"/>
        </w:rPr>
        <w:t xml:space="preserve">See, e.g., </w:t>
      </w:r>
      <w:hyperlink r:id="rId67" w:anchor="co_pp_sp_506_78" w:history="1">
        <w:r w:rsidRPr="00EF577A">
          <w:rPr>
            <w:i/>
            <w:iCs/>
            <w:color w:val="000000" w:themeColor="text1"/>
            <w:szCs w:val="22"/>
          </w:rPr>
          <w:t>Meyer</w:t>
        </w:r>
        <w:r w:rsidRPr="00EF577A">
          <w:rPr>
            <w:color w:val="000000" w:themeColor="text1"/>
            <w:szCs w:val="22"/>
          </w:rPr>
          <w:t>, 868 F.3d at 78-80</w:t>
        </w:r>
      </w:hyperlink>
      <w:r w:rsidRPr="00EF577A">
        <w:rPr>
          <w:color w:val="000000" w:themeColor="text1"/>
          <w:szCs w:val="22"/>
        </w:rPr>
        <w:t xml:space="preserve"> (concluding that an enforceable agreement was formed where the mobile app explicitly warned, “By creating an Uber account, you agree to the TERMS OF SERVICE &amp; PRIVACY POLICY”).</w:t>
      </w:r>
    </w:p>
    <w:p w14:paraId="2CFD9614"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17733E02"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Defendants assert that the presence of the phrase “which includes mandatory arbitration” in the textual notice distinguishes the webpages at issue here from those rejected by other courts. This argument is unavailing, as it fails to appreciate the key issue in this appeal. The question before us is not whether Hernandez and Russell may have been aware of the mandatory arbitration provision in particular, but rather whether they can be deemed to have manifested assent to any of the terms and conditions in the first place. Because the textual notice was not conspicuous and did not explicitly inform Hernandez and Russell that by clicking on the “continue” button they would be bound by the terms and conditions, the presence of the words “which includes mandatory arbitration” in the notice is of no relevance to the outcome of this appeal.</w:t>
      </w:r>
    </w:p>
    <w:p w14:paraId="3B1E83CE"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1CB34EB4"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xml:space="preserve">We conclude that the design and content of the webpages Hernandez and Russell visited did not adequately call to their attention either the existence of the terms and conditions or the fact that, by clicking on the “continue” button, they were agreeing to be bound by those terms. The district court properly denied defendants’ motion to compel arbitration because </w:t>
      </w:r>
      <w:r w:rsidRPr="00EF577A">
        <w:rPr>
          <w:color w:val="000000" w:themeColor="text1"/>
          <w:szCs w:val="22"/>
        </w:rPr>
        <w:lastRenderedPageBreak/>
        <w:t>an enforceable agreement to arbitrate was never formed.</w:t>
      </w:r>
    </w:p>
    <w:p w14:paraId="25DF1334"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79F07420" w14:textId="77777777" w:rsidR="00F855B6" w:rsidRPr="00EF577A" w:rsidRDefault="00F855B6" w:rsidP="00F855B6">
      <w:pPr>
        <w:widowControl w:val="0"/>
        <w:autoSpaceDE w:val="0"/>
        <w:autoSpaceDN w:val="0"/>
        <w:adjustRightInd w:val="0"/>
        <w:jc w:val="both"/>
        <w:rPr>
          <w:color w:val="000000" w:themeColor="text1"/>
          <w:szCs w:val="22"/>
        </w:rPr>
      </w:pPr>
      <w:bookmarkStart w:id="72" w:name="co_anchor_Ia5d2df8124be11ed93f8c074fb446"/>
      <w:bookmarkEnd w:id="72"/>
    </w:p>
    <w:p w14:paraId="18A3DF59" w14:textId="77777777" w:rsidR="00F855B6" w:rsidRPr="00EF577A" w:rsidRDefault="00F855B6" w:rsidP="00F855B6">
      <w:pPr>
        <w:widowControl w:val="0"/>
        <w:autoSpaceDE w:val="0"/>
        <w:autoSpaceDN w:val="0"/>
        <w:adjustRightInd w:val="0"/>
        <w:spacing w:before="400" w:after="200"/>
        <w:jc w:val="center"/>
        <w:rPr>
          <w:color w:val="000000" w:themeColor="text1"/>
          <w:szCs w:val="22"/>
        </w:rPr>
      </w:pPr>
      <w:r w:rsidRPr="00EF577A">
        <w:rPr>
          <w:color w:val="000000" w:themeColor="text1"/>
          <w:szCs w:val="22"/>
        </w:rPr>
        <w:t>III</w:t>
      </w:r>
    </w:p>
    <w:p w14:paraId="61BC0636" w14:textId="77777777" w:rsidR="00F855B6" w:rsidRPr="00EF577A" w:rsidRDefault="00F855B6" w:rsidP="00F855B6">
      <w:pPr>
        <w:widowControl w:val="0"/>
        <w:autoSpaceDE w:val="0"/>
        <w:autoSpaceDN w:val="0"/>
        <w:adjustRightInd w:val="0"/>
        <w:jc w:val="both"/>
        <w:rPr>
          <w:color w:val="000000" w:themeColor="text1"/>
          <w:szCs w:val="22"/>
        </w:rPr>
      </w:pPr>
      <w:bookmarkStart w:id="73" w:name="co_anchor_B192055884132_1"/>
      <w:bookmarkEnd w:id="73"/>
      <w:r w:rsidRPr="00EF577A">
        <w:rPr>
          <w:color w:val="000000" w:themeColor="text1"/>
          <w:szCs w:val="22"/>
        </w:rPr>
        <w:t>Following the district court’s denial of their motion to compel arbitration, defendants filed a motion for reconsideration, asserting that testimony from the depositions they took of Russell and Hernandez two months prior to the court’s ruling was material to resolution of the motion to compel. The district court denied the reconsideration motion because defendants failed to act with reasonable diligence and, alternatively, because plaintiffs’ deposition testimony was not materially different from the facts the court had already considered. Because we agree with the court’s first rationale, we need not address the second.</w:t>
      </w:r>
    </w:p>
    <w:p w14:paraId="05473E41"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192C0807" w14:textId="77777777" w:rsidR="00F855B6" w:rsidRPr="00EF577A" w:rsidRDefault="00F855B6" w:rsidP="00F855B6">
      <w:pPr>
        <w:widowControl w:val="0"/>
        <w:autoSpaceDE w:val="0"/>
        <w:autoSpaceDN w:val="0"/>
        <w:adjustRightInd w:val="0"/>
        <w:jc w:val="both"/>
        <w:rPr>
          <w:color w:val="000000" w:themeColor="text1"/>
          <w:szCs w:val="22"/>
        </w:rPr>
      </w:pPr>
      <w:bookmarkStart w:id="74" w:name="co_anchor_B202055884132_1"/>
      <w:bookmarkStart w:id="75" w:name="co_anchor_B212055884132_1"/>
      <w:bookmarkEnd w:id="74"/>
      <w:bookmarkEnd w:id="75"/>
      <w:r w:rsidRPr="00EF577A">
        <w:rPr>
          <w:color w:val="000000" w:themeColor="text1"/>
          <w:szCs w:val="22"/>
        </w:rPr>
        <w:t xml:space="preserve">A district court may, in its discretion, reconsider an interlocutory order denying a motion to compel arbitration. </w:t>
      </w:r>
      <w:r w:rsidRPr="00EF577A">
        <w:rPr>
          <w:i/>
          <w:iCs/>
          <w:color w:val="000000" w:themeColor="text1"/>
          <w:szCs w:val="22"/>
        </w:rPr>
        <w:t>See</w:t>
      </w:r>
      <w:r w:rsidRPr="00EF577A">
        <w:rPr>
          <w:color w:val="000000" w:themeColor="text1"/>
          <w:szCs w:val="22"/>
        </w:rPr>
        <w:t xml:space="preserve"> </w:t>
      </w:r>
      <w:hyperlink r:id="rId68" w:history="1">
        <w:r w:rsidRPr="00EF577A">
          <w:rPr>
            <w:color w:val="000000" w:themeColor="text1"/>
            <w:szCs w:val="22"/>
          </w:rPr>
          <w:t>Fed. R. Civ. P. 60(b)</w:t>
        </w:r>
      </w:hyperlink>
      <w:r w:rsidRPr="00EF577A">
        <w:rPr>
          <w:color w:val="000000" w:themeColor="text1"/>
          <w:szCs w:val="22"/>
        </w:rPr>
        <w:t xml:space="preserve">; N.D. Cal. Civ. L.R. 7-9. However, reconsideration of such an order is an “extraordinary remedy, to </w:t>
      </w:r>
      <w:bookmarkStart w:id="76" w:name="co_pp_sp_8173_859_1"/>
      <w:bookmarkEnd w:id="76"/>
      <w:r w:rsidRPr="00EF577A">
        <w:rPr>
          <w:color w:val="000000" w:themeColor="text1"/>
          <w:szCs w:val="22"/>
        </w:rPr>
        <w:t xml:space="preserve">be used sparingly in the interests of finality and conservation of judicial resources.” </w:t>
      </w:r>
      <w:hyperlink r:id="rId69" w:anchor="co_pp_sp_506_890" w:history="1">
        <w:r w:rsidRPr="00EF577A">
          <w:rPr>
            <w:i/>
            <w:iCs/>
            <w:color w:val="000000" w:themeColor="text1"/>
            <w:szCs w:val="22"/>
          </w:rPr>
          <w:t>Kona Enterprises</w:t>
        </w:r>
        <w:r w:rsidRPr="00EF577A">
          <w:rPr>
            <w:color w:val="000000" w:themeColor="text1"/>
            <w:szCs w:val="22"/>
          </w:rPr>
          <w:t>, 229 F.3d at 890</w:t>
        </w:r>
      </w:hyperlink>
      <w:r w:rsidRPr="00EF577A">
        <w:rPr>
          <w:color w:val="000000" w:themeColor="text1"/>
          <w:szCs w:val="22"/>
        </w:rPr>
        <w:t xml:space="preserve">. Reconsideration motions may not be used to raise new arguments or introduce new evidence if, with reasonable diligence, the arguments and evidence could have been presented during consideration of the original ruling. </w:t>
      </w:r>
      <w:hyperlink r:id="rId70" w:history="1">
        <w:r w:rsidRPr="00EF577A">
          <w:rPr>
            <w:i/>
            <w:iCs/>
            <w:color w:val="000000" w:themeColor="text1"/>
            <w:szCs w:val="22"/>
          </w:rPr>
          <w:t>Id.</w:t>
        </w:r>
      </w:hyperlink>
    </w:p>
    <w:p w14:paraId="493CA1CD"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6180439"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As the district court explained, had defendants acted with reasonable diligence, plaintiffs’ deposition testimony could have been presented to the court in connection with the motion to compel arbitration. Defendants could have deposed plaintiffs before filing the motion or before the close of briefing on the motion. During that period, the district court granted each extension of the briefing and discovery schedules the parties requested. Moreover, defendants could have submitted plaintiffs’ deposition testimony at any point during the two-month period between the taking of the depositions and issuance of the court’s order denying the motion to compel. Instead, defendants waited until after the court had issued its ruling to present the deposition testimony in support of their new theory that plaintiffs had actual knowledge of the hyperlinked terms and conditions. The district court did not abuse its discretion in concluding that defendants’ “tactical decision not to submit the deposition testimony until after their motion was denied” failed to provide any basis for seeking reconsideration of the court’s earlier ruling.</w:t>
      </w:r>
    </w:p>
    <w:p w14:paraId="5266D4E0"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4E016ADE" w14:textId="77777777" w:rsidR="00F855B6" w:rsidRPr="00EF577A" w:rsidRDefault="00F855B6" w:rsidP="00F855B6">
      <w:pPr>
        <w:widowControl w:val="0"/>
        <w:autoSpaceDE w:val="0"/>
        <w:autoSpaceDN w:val="0"/>
        <w:adjustRightInd w:val="0"/>
        <w:jc w:val="center"/>
        <w:rPr>
          <w:color w:val="000000" w:themeColor="text1"/>
          <w:szCs w:val="22"/>
        </w:rPr>
      </w:pPr>
      <w:r w:rsidRPr="00EF577A">
        <w:rPr>
          <w:color w:val="000000" w:themeColor="text1"/>
          <w:szCs w:val="22"/>
        </w:rPr>
        <w:t>* * *</w:t>
      </w:r>
    </w:p>
    <w:p w14:paraId="276DAA28"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5257C66"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We affirm the district court’s denial of defendants’ motion to compel arbitration and their motion for reconsideration.</w:t>
      </w:r>
    </w:p>
    <w:p w14:paraId="7A2233E9"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0D2E7034" w14:textId="77777777" w:rsidR="00F855B6" w:rsidRPr="00EF577A" w:rsidRDefault="00F855B6" w:rsidP="00F855B6">
      <w:pPr>
        <w:widowControl w:val="0"/>
        <w:autoSpaceDE w:val="0"/>
        <w:autoSpaceDN w:val="0"/>
        <w:adjustRightInd w:val="0"/>
        <w:jc w:val="both"/>
        <w:rPr>
          <w:b/>
          <w:bCs/>
          <w:color w:val="000000" w:themeColor="text1"/>
          <w:szCs w:val="22"/>
        </w:rPr>
      </w:pPr>
      <w:r w:rsidRPr="00EF577A">
        <w:rPr>
          <w:b/>
          <w:bCs/>
          <w:color w:val="000000" w:themeColor="text1"/>
          <w:szCs w:val="22"/>
        </w:rPr>
        <w:t>AFFIRMED.</w:t>
      </w:r>
    </w:p>
    <w:p w14:paraId="4993266C"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2D35EB88" w14:textId="77777777" w:rsidR="00F855B6" w:rsidRPr="00EF577A" w:rsidRDefault="00F855B6" w:rsidP="00F855B6">
      <w:pPr>
        <w:widowControl w:val="0"/>
        <w:autoSpaceDE w:val="0"/>
        <w:autoSpaceDN w:val="0"/>
        <w:adjustRightInd w:val="0"/>
        <w:jc w:val="both"/>
        <w:rPr>
          <w:color w:val="000000" w:themeColor="text1"/>
          <w:szCs w:val="22"/>
        </w:rPr>
      </w:pPr>
      <w:bookmarkStart w:id="77" w:name="co_anchor_Ia5da0b7224be11ed93f8c074fb446"/>
      <w:bookmarkEnd w:id="77"/>
    </w:p>
    <w:p w14:paraId="08998246" w14:textId="77777777" w:rsidR="00F855B6" w:rsidRPr="00EF577A" w:rsidRDefault="00F855B6" w:rsidP="00F855B6">
      <w:pPr>
        <w:widowControl w:val="0"/>
        <w:autoSpaceDE w:val="0"/>
        <w:autoSpaceDN w:val="0"/>
        <w:adjustRightInd w:val="0"/>
        <w:spacing w:before="400" w:after="200"/>
        <w:jc w:val="center"/>
        <w:rPr>
          <w:color w:val="000000" w:themeColor="text1"/>
          <w:szCs w:val="22"/>
        </w:rPr>
      </w:pPr>
      <w:r w:rsidRPr="00EF577A">
        <w:rPr>
          <w:color w:val="000000" w:themeColor="text1"/>
          <w:szCs w:val="22"/>
        </w:rPr>
        <w:t>Appendix A</w:t>
      </w:r>
    </w:p>
    <w:p w14:paraId="04275DF2" w14:textId="77777777" w:rsidR="00F855B6" w:rsidRPr="00EF577A" w:rsidRDefault="00F855B6" w:rsidP="00F855B6">
      <w:pPr>
        <w:widowControl w:val="0"/>
        <w:autoSpaceDE w:val="0"/>
        <w:autoSpaceDN w:val="0"/>
        <w:adjustRightInd w:val="0"/>
        <w:jc w:val="both"/>
        <w:rPr>
          <w:color w:val="000000" w:themeColor="text1"/>
          <w:szCs w:val="22"/>
        </w:rPr>
      </w:pPr>
      <w:bookmarkStart w:id="78" w:name="co_anchor_Ia5b2864024be11ed93f8c074fb446"/>
      <w:bookmarkEnd w:id="78"/>
    </w:p>
    <w:p w14:paraId="754BCE53" w14:textId="668D6D96" w:rsidR="00F855B6" w:rsidRPr="00EF577A" w:rsidRDefault="00F855B6" w:rsidP="00F855B6">
      <w:pPr>
        <w:widowControl w:val="0"/>
        <w:autoSpaceDE w:val="0"/>
        <w:autoSpaceDN w:val="0"/>
        <w:adjustRightInd w:val="0"/>
        <w:jc w:val="both"/>
        <w:rPr>
          <w:color w:val="000000" w:themeColor="text1"/>
          <w:szCs w:val="22"/>
        </w:rPr>
      </w:pPr>
      <w:r w:rsidRPr="00EF577A">
        <w:rPr>
          <w:noProof/>
          <w:color w:val="000000" w:themeColor="text1"/>
          <w:szCs w:val="22"/>
        </w:rPr>
        <w:drawing>
          <wp:inline distT="0" distB="0" distL="0" distR="0" wp14:anchorId="568B8223" wp14:editId="20C9534D">
            <wp:extent cx="5080000" cy="3467100"/>
            <wp:effectExtent l="0" t="0" r="6350" b="0"/>
            <wp:docPr id="1883597981" name="Picture 3">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5080000" cy="3467100"/>
                    </a:xfrm>
                    <a:prstGeom prst="rect">
                      <a:avLst/>
                    </a:prstGeom>
                    <a:noFill/>
                    <a:ln>
                      <a:noFill/>
                    </a:ln>
                  </pic:spPr>
                </pic:pic>
              </a:graphicData>
            </a:graphic>
          </wp:inline>
        </w:drawing>
      </w:r>
      <w:hyperlink r:id="rId73" w:history="1">
        <w:r w:rsidRPr="00EF577A">
          <w:rPr>
            <w:rFonts w:ascii="Arial" w:hAnsi="Arial" w:cs="Arial"/>
            <w:color w:val="000000" w:themeColor="text1"/>
            <w:szCs w:val="22"/>
          </w:rPr>
          <w:t>​</w:t>
        </w:r>
      </w:hyperlink>
    </w:p>
    <w:p w14:paraId="783735F1" w14:textId="77777777" w:rsidR="00F855B6" w:rsidRPr="00EF577A" w:rsidRDefault="00F855B6" w:rsidP="00F855B6">
      <w:pPr>
        <w:widowControl w:val="0"/>
        <w:autoSpaceDE w:val="0"/>
        <w:autoSpaceDN w:val="0"/>
        <w:adjustRightInd w:val="0"/>
        <w:jc w:val="both"/>
        <w:rPr>
          <w:color w:val="000000" w:themeColor="text1"/>
          <w:szCs w:val="22"/>
        </w:rPr>
      </w:pPr>
      <w:bookmarkStart w:id="79" w:name="co_pp_sp_8173_860_1"/>
      <w:bookmarkEnd w:id="79"/>
    </w:p>
    <w:p w14:paraId="791D5F0D" w14:textId="77777777" w:rsidR="00F855B6" w:rsidRPr="00EF577A" w:rsidRDefault="00F855B6" w:rsidP="00F855B6">
      <w:pPr>
        <w:widowControl w:val="0"/>
        <w:autoSpaceDE w:val="0"/>
        <w:autoSpaceDN w:val="0"/>
        <w:adjustRightInd w:val="0"/>
        <w:jc w:val="both"/>
        <w:rPr>
          <w:color w:val="000000" w:themeColor="text1"/>
          <w:szCs w:val="22"/>
        </w:rPr>
      </w:pPr>
      <w:bookmarkStart w:id="80" w:name="co_anchor_Ia5b2864224be11ed93f8c074fb446"/>
      <w:bookmarkEnd w:id="80"/>
    </w:p>
    <w:p w14:paraId="76D46357" w14:textId="30F9AC8C" w:rsidR="00F855B6" w:rsidRPr="00EF577A" w:rsidRDefault="00F855B6" w:rsidP="00F855B6">
      <w:pPr>
        <w:widowControl w:val="0"/>
        <w:autoSpaceDE w:val="0"/>
        <w:autoSpaceDN w:val="0"/>
        <w:adjustRightInd w:val="0"/>
        <w:jc w:val="both"/>
        <w:rPr>
          <w:color w:val="000000" w:themeColor="text1"/>
          <w:szCs w:val="22"/>
        </w:rPr>
      </w:pPr>
      <w:r w:rsidRPr="00EF577A">
        <w:rPr>
          <w:noProof/>
          <w:color w:val="000000" w:themeColor="text1"/>
          <w:szCs w:val="22"/>
        </w:rPr>
        <w:drawing>
          <wp:inline distT="0" distB="0" distL="0" distR="0" wp14:anchorId="410C6D01" wp14:editId="2EFCBD5F">
            <wp:extent cx="5080000" cy="2774950"/>
            <wp:effectExtent l="0" t="0" r="6350" b="6350"/>
            <wp:docPr id="821316615" name="Picture 2">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080000" cy="2774950"/>
                    </a:xfrm>
                    <a:prstGeom prst="rect">
                      <a:avLst/>
                    </a:prstGeom>
                    <a:noFill/>
                    <a:ln>
                      <a:noFill/>
                    </a:ln>
                  </pic:spPr>
                </pic:pic>
              </a:graphicData>
            </a:graphic>
          </wp:inline>
        </w:drawing>
      </w:r>
      <w:hyperlink r:id="rId76" w:history="1">
        <w:r w:rsidRPr="00EF577A">
          <w:rPr>
            <w:rFonts w:ascii="Arial" w:hAnsi="Arial" w:cs="Arial"/>
            <w:color w:val="000000" w:themeColor="text1"/>
            <w:szCs w:val="22"/>
          </w:rPr>
          <w:t>​</w:t>
        </w:r>
      </w:hyperlink>
    </w:p>
    <w:p w14:paraId="4CF3F6EB" w14:textId="77777777" w:rsidR="00F855B6" w:rsidRPr="00EF577A" w:rsidRDefault="00F855B6" w:rsidP="00F855B6">
      <w:pPr>
        <w:widowControl w:val="0"/>
        <w:autoSpaceDE w:val="0"/>
        <w:autoSpaceDN w:val="0"/>
        <w:adjustRightInd w:val="0"/>
        <w:jc w:val="both"/>
        <w:rPr>
          <w:color w:val="000000" w:themeColor="text1"/>
          <w:szCs w:val="22"/>
        </w:rPr>
      </w:pPr>
      <w:bookmarkStart w:id="81" w:name="co_anchor_Ia5da80a124be11ed93f8c074fb446"/>
      <w:bookmarkEnd w:id="81"/>
    </w:p>
    <w:p w14:paraId="46546804" w14:textId="77777777" w:rsidR="00F855B6" w:rsidRPr="00EF577A" w:rsidRDefault="00F855B6" w:rsidP="00F855B6">
      <w:pPr>
        <w:widowControl w:val="0"/>
        <w:autoSpaceDE w:val="0"/>
        <w:autoSpaceDN w:val="0"/>
        <w:adjustRightInd w:val="0"/>
        <w:spacing w:before="400" w:after="200"/>
        <w:jc w:val="center"/>
        <w:rPr>
          <w:color w:val="000000" w:themeColor="text1"/>
          <w:szCs w:val="22"/>
        </w:rPr>
      </w:pPr>
      <w:bookmarkStart w:id="82" w:name="co_pp_sp_8173_861_1"/>
      <w:bookmarkEnd w:id="82"/>
      <w:r w:rsidRPr="00EF577A">
        <w:rPr>
          <w:color w:val="000000" w:themeColor="text1"/>
          <w:szCs w:val="22"/>
        </w:rPr>
        <w:t>Appendix B</w:t>
      </w:r>
    </w:p>
    <w:p w14:paraId="2F2748B5" w14:textId="77777777" w:rsidR="00F855B6" w:rsidRPr="00EF577A" w:rsidRDefault="00F855B6" w:rsidP="00F855B6">
      <w:pPr>
        <w:widowControl w:val="0"/>
        <w:autoSpaceDE w:val="0"/>
        <w:autoSpaceDN w:val="0"/>
        <w:adjustRightInd w:val="0"/>
        <w:jc w:val="both"/>
        <w:rPr>
          <w:color w:val="000000" w:themeColor="text1"/>
          <w:szCs w:val="22"/>
        </w:rPr>
      </w:pPr>
      <w:bookmarkStart w:id="83" w:name="co_anchor_Ia5b2864424be11ed93f8c074fb446"/>
      <w:bookmarkEnd w:id="83"/>
    </w:p>
    <w:p w14:paraId="111D06C6" w14:textId="74FA3C85" w:rsidR="00F855B6" w:rsidRPr="00EF577A" w:rsidRDefault="00F855B6" w:rsidP="00F855B6">
      <w:pPr>
        <w:widowControl w:val="0"/>
        <w:autoSpaceDE w:val="0"/>
        <w:autoSpaceDN w:val="0"/>
        <w:adjustRightInd w:val="0"/>
        <w:jc w:val="both"/>
        <w:rPr>
          <w:color w:val="000000" w:themeColor="text1"/>
          <w:szCs w:val="22"/>
        </w:rPr>
      </w:pPr>
      <w:r w:rsidRPr="00EF577A">
        <w:rPr>
          <w:noProof/>
          <w:color w:val="000000" w:themeColor="text1"/>
          <w:szCs w:val="22"/>
        </w:rPr>
        <w:lastRenderedPageBreak/>
        <w:drawing>
          <wp:inline distT="0" distB="0" distL="0" distR="0" wp14:anchorId="14BE959C" wp14:editId="731E85A7">
            <wp:extent cx="1955800" cy="5080000"/>
            <wp:effectExtent l="0" t="0" r="6350" b="6350"/>
            <wp:docPr id="227273457" name="Picture 1">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955800" cy="5080000"/>
                    </a:xfrm>
                    <a:prstGeom prst="rect">
                      <a:avLst/>
                    </a:prstGeom>
                    <a:noFill/>
                    <a:ln>
                      <a:noFill/>
                    </a:ln>
                  </pic:spPr>
                </pic:pic>
              </a:graphicData>
            </a:graphic>
          </wp:inline>
        </w:drawing>
      </w:r>
      <w:hyperlink r:id="rId79" w:history="1">
        <w:r w:rsidRPr="00EF577A">
          <w:rPr>
            <w:rFonts w:ascii="Arial" w:hAnsi="Arial" w:cs="Arial"/>
            <w:color w:val="000000" w:themeColor="text1"/>
            <w:szCs w:val="22"/>
          </w:rPr>
          <w:t>​</w:t>
        </w:r>
      </w:hyperlink>
    </w:p>
    <w:p w14:paraId="21998431" w14:textId="77777777" w:rsidR="00F855B6" w:rsidRPr="00EF577A" w:rsidRDefault="00F855B6" w:rsidP="00F855B6">
      <w:pPr>
        <w:widowControl w:val="0"/>
        <w:autoSpaceDE w:val="0"/>
        <w:autoSpaceDN w:val="0"/>
        <w:adjustRightInd w:val="0"/>
        <w:jc w:val="both"/>
        <w:rPr>
          <w:b/>
          <w:bCs/>
          <w:color w:val="000000" w:themeColor="text1"/>
          <w:szCs w:val="22"/>
        </w:rPr>
      </w:pPr>
      <w:bookmarkStart w:id="84" w:name="co_concurrance_opinion_1"/>
      <w:bookmarkEnd w:id="84"/>
    </w:p>
    <w:p w14:paraId="1971105D" w14:textId="77777777" w:rsidR="00F855B6" w:rsidRPr="00EF577A" w:rsidRDefault="00F855B6" w:rsidP="00F855B6">
      <w:pPr>
        <w:widowControl w:val="0"/>
        <w:autoSpaceDE w:val="0"/>
        <w:autoSpaceDN w:val="0"/>
        <w:adjustRightInd w:val="0"/>
        <w:jc w:val="both"/>
        <w:rPr>
          <w:color w:val="000000" w:themeColor="text1"/>
          <w:szCs w:val="22"/>
        </w:rPr>
      </w:pPr>
    </w:p>
    <w:p w14:paraId="218D7AFB" w14:textId="77777777" w:rsidR="00F855B6" w:rsidRPr="00EF577A" w:rsidRDefault="00F855B6" w:rsidP="00F855B6">
      <w:pPr>
        <w:widowControl w:val="0"/>
        <w:autoSpaceDE w:val="0"/>
        <w:autoSpaceDN w:val="0"/>
        <w:adjustRightInd w:val="0"/>
        <w:jc w:val="both"/>
        <w:rPr>
          <w:color w:val="000000" w:themeColor="text1"/>
          <w:szCs w:val="22"/>
        </w:rPr>
      </w:pPr>
      <w:r w:rsidRPr="00EF577A">
        <w:rPr>
          <w:color w:val="000000" w:themeColor="text1"/>
          <w:szCs w:val="22"/>
        </w:rPr>
        <w:t> </w:t>
      </w:r>
    </w:p>
    <w:p w14:paraId="361695AF" w14:textId="77777777" w:rsidR="008B5AE2" w:rsidRDefault="008B5AE2" w:rsidP="00C75BD3">
      <w:pPr>
        <w:rPr>
          <w:szCs w:val="22"/>
        </w:rPr>
      </w:pPr>
      <w:bookmarkStart w:id="85" w:name="co_allCitations_1"/>
      <w:bookmarkStart w:id="86" w:name="co_footnote_B00022055884132_1"/>
      <w:bookmarkStart w:id="87" w:name="I9281b5f001eb11edbb58ab6acf8e61e9_Targe"/>
      <w:bookmarkEnd w:id="85"/>
      <w:bookmarkEnd w:id="86"/>
      <w:bookmarkEnd w:id="87"/>
    </w:p>
    <w:p w14:paraId="684679EB" w14:textId="77777777" w:rsidR="00C75BD3" w:rsidRPr="00EF577A" w:rsidRDefault="00C75BD3" w:rsidP="00C75BD3">
      <w:pPr>
        <w:rPr>
          <w:szCs w:val="22"/>
        </w:rPr>
      </w:pPr>
    </w:p>
    <w:p w14:paraId="72C01F02" w14:textId="77777777" w:rsidR="00C75BD3" w:rsidRPr="00EF577A" w:rsidRDefault="00C75BD3" w:rsidP="00C75BD3">
      <w:pPr>
        <w:widowControl w:val="0"/>
        <w:autoSpaceDE w:val="0"/>
        <w:autoSpaceDN w:val="0"/>
        <w:adjustRightInd w:val="0"/>
        <w:ind w:right="101"/>
        <w:jc w:val="center"/>
        <w:outlineLvl w:val="0"/>
        <w:rPr>
          <w:color w:val="000000" w:themeColor="text1"/>
          <w:szCs w:val="22"/>
        </w:rPr>
      </w:pPr>
      <w:bookmarkStart w:id="88" w:name="_Toc28976506"/>
      <w:bookmarkStart w:id="89" w:name="_Toc57545201"/>
      <w:bookmarkStart w:id="90" w:name="_Toc186019888"/>
      <w:r w:rsidRPr="00EF577A">
        <w:rPr>
          <w:color w:val="000000" w:themeColor="text1"/>
          <w:szCs w:val="22"/>
        </w:rPr>
        <w:t>Steven v. The Fidelity and Casualty Company</w:t>
      </w:r>
      <w:bookmarkEnd w:id="88"/>
      <w:bookmarkEnd w:id="89"/>
      <w:bookmarkEnd w:id="90"/>
    </w:p>
    <w:p w14:paraId="4F728C7B" w14:textId="77777777" w:rsidR="00C75BD3" w:rsidRPr="00EF577A" w:rsidRDefault="00C75BD3" w:rsidP="00C75BD3">
      <w:pPr>
        <w:widowControl w:val="0"/>
        <w:autoSpaceDE w:val="0"/>
        <w:autoSpaceDN w:val="0"/>
        <w:adjustRightInd w:val="0"/>
        <w:jc w:val="center"/>
        <w:rPr>
          <w:color w:val="000000" w:themeColor="text1"/>
          <w:szCs w:val="22"/>
        </w:rPr>
      </w:pPr>
      <w:r w:rsidRPr="00EF577A">
        <w:rPr>
          <w:color w:val="000000" w:themeColor="text1"/>
          <w:szCs w:val="22"/>
        </w:rPr>
        <w:t>Supreme Court of California</w:t>
      </w:r>
    </w:p>
    <w:p w14:paraId="78843527" w14:textId="77777777" w:rsidR="00C75BD3" w:rsidRPr="00EF577A" w:rsidRDefault="00C75BD3" w:rsidP="00C75BD3">
      <w:pPr>
        <w:rPr>
          <w:color w:val="000000" w:themeColor="text1"/>
          <w:szCs w:val="22"/>
        </w:rPr>
      </w:pPr>
    </w:p>
    <w:p w14:paraId="02F81DA5" w14:textId="77777777" w:rsidR="00C75BD3" w:rsidRPr="00EF577A" w:rsidRDefault="00C75BD3" w:rsidP="00C75BD3">
      <w:pPr>
        <w:widowControl w:val="0"/>
        <w:autoSpaceDE w:val="0"/>
        <w:autoSpaceDN w:val="0"/>
        <w:adjustRightInd w:val="0"/>
        <w:jc w:val="center"/>
        <w:rPr>
          <w:b/>
          <w:color w:val="000000" w:themeColor="text1"/>
          <w:szCs w:val="22"/>
        </w:rPr>
      </w:pPr>
    </w:p>
    <w:p w14:paraId="0395FBD1" w14:textId="77777777" w:rsidR="00C75BD3" w:rsidRPr="00EF577A" w:rsidRDefault="00C75BD3" w:rsidP="00C75BD3">
      <w:pPr>
        <w:widowControl w:val="0"/>
        <w:autoSpaceDE w:val="0"/>
        <w:autoSpaceDN w:val="0"/>
        <w:adjustRightInd w:val="0"/>
        <w:jc w:val="center"/>
        <w:rPr>
          <w:color w:val="000000" w:themeColor="text1"/>
          <w:szCs w:val="22"/>
        </w:rPr>
      </w:pPr>
      <w:r w:rsidRPr="00EF577A">
        <w:rPr>
          <w:color w:val="000000" w:themeColor="text1"/>
          <w:szCs w:val="22"/>
        </w:rPr>
        <w:t>58 Cal.2d 862 (1962)</w:t>
      </w:r>
    </w:p>
    <w:p w14:paraId="2BEA2F3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TOBRINER, J.</w:t>
      </w:r>
    </w:p>
    <w:p w14:paraId="5222E502"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We point out here why we have concluded that the provisions of an airplane trip insurance policy on the life of the beneficiary’s husband did not plainly or clearly provide for noncoverage, and why, in the absence of such provision, in this unusual case, the insurer is liable. Accordingly, we do not believe that the judgment for the insurer, rendered after trial without a jury, should stand.</w:t>
      </w:r>
    </w:p>
    <w:p w14:paraId="1FB84E9D"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7CACA6C3"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lastRenderedPageBreak/>
        <w:t>On March 3, 1957, Mr. George A. Steven purchased at Los Angeles, California, a round-trip airplane ticket to Dayton, Ohio. As part of the return trip Mr. Steven’s itinerary included a flight from Terre Haute, Indiana, to Chicago, Illinois. Mr. Steven simultaneously purchased for a premium of $2.50 a $62,500 life insurance policy which named his wife, appellant, as the beneficiary.</w:t>
      </w:r>
    </w:p>
    <w:p w14:paraId="06867CDB"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70709454"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Mr. Steven bought the policy by means of a vending machine. The policy set out across the top the following specifications: “Do Not Purchase More Than a Total of $62,500 Principal Sum-Nor for Travel on Other Than Scheduled Air Carriers. This Policy Covers on One-Way Trip Only Unless Round Trip Ticket Is Purchased Before Departure.” Below this printed statement a box form provided for the insertion on appropriate lines of the insured’s name, the name and address of the beneficiary, the point of departure and destination, the extent of the trip as on a one-way or round-trip ticket, the date, the principal sum of insurance ($62,500), the amount of the premium ($2.50), and the insured’s signature. The evidence does not clearly show whether at the time of purchase the aperture of the vending machine disclosed the entire top portion of the policy, including the printed warning as to amount and coverage for travel on “scheduled air carriers,” or merely the form for the personal data and flight information to be furnished by the purchaser. After obtaining the policy, Mr. Steven, using the envelope provided by the machine, mailed it to his wife.</w:t>
      </w:r>
    </w:p>
    <w:p w14:paraId="29F7524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101B454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On March 6, 1957, on his return trip from Dayton, Mr. Steven, according to his original plan, stopped off at Terre Haute. He arrived there between 7 and 8 o’clock in the morning. His round-trip ticket scheduled him to take a Lake Central Airlines plane to Chicago at noon that day. At about that time the public address system at the airport announced that the Lake Central plane had been grounded in Indianapolis and that there would be some delay. After several further announcements of repeated delays, the scheduled Lake Central flight to Chicago was finally cancelled at 4:30 p. m. </w:t>
      </w:r>
    </w:p>
    <w:p w14:paraId="013DA17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34672E1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agent of Lake Central Airlines then attempted to arrange for Mr. Steven and three other men substitute means of transportation to Chicago. The agent phoned railroads, bus lines and even an automobile rental company. After concluding that he could not thereby arrange a connection with the scheduled Chicago flight to Los Angeles, the agent took Mr. Steven and the other three men to the office of the Turner Aviation Corporation (hereinafter designated Turner) at the Terre Haute airport and introduced them to the agent there in charge. The Lake Central agent indicated that a flight on a Turner plane provided the only means for Mr. Steven to make his scheduled connection with the Chicago plane, a connection which Mr. Steven particularly desired because an essential work project awaited him in Los Angeles the next morning. Turner agreed to fly the men to Chicago for $36 per person, or, if two more passengers could be obtained, for $21 a person. Two additional passengers were obtained and accordingly Mr. Steven and each of the other passengers paid Turner $21 for his ticket.</w:t>
      </w:r>
    </w:p>
    <w:p w14:paraId="755EF6A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5728432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Mr. Steven boarded the Turner aircraft, a Piper Tri-Pacer airplane, which took off from the Terre Taute airfield at 5:55 p. m. </w:t>
      </w:r>
      <w:proofErr w:type="spellStart"/>
      <w:r w:rsidRPr="00EF577A">
        <w:rPr>
          <w:color w:val="000000" w:themeColor="text1"/>
          <w:szCs w:val="22"/>
        </w:rPr>
        <w:t>Some time</w:t>
      </w:r>
      <w:proofErr w:type="spellEnd"/>
      <w:r w:rsidRPr="00EF577A">
        <w:rPr>
          <w:color w:val="000000" w:themeColor="text1"/>
          <w:szCs w:val="22"/>
        </w:rPr>
        <w:t xml:space="preserve"> around 7 p. m. on March 6, 1957, near Grant Park, Illinois, the plane crashed. Mr. Steven suffered fatal injuries.</w:t>
      </w:r>
    </w:p>
    <w:p w14:paraId="3EA554D6"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7B46085"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During March 1957 Turner operated out of Terre Haute under an air-taxi certificate issued </w:t>
      </w:r>
      <w:r w:rsidRPr="00EF577A">
        <w:rPr>
          <w:color w:val="000000" w:themeColor="text1"/>
          <w:szCs w:val="22"/>
        </w:rPr>
        <w:lastRenderedPageBreak/>
        <w:t>either by the Civil Aeronautics Board or the Civil Aeronautics Administration. As of the date of the crash, Turner held no certificate of public convenience and necessity from the Civil Aeronautics Board, the governmental authority empowered to issue such certificates. Neither the State of Illinois nor the State of Indiana grants certificates of public convenience and necessity or other authorization to air carriers of any kind. During March 1957 Turner did not publish schedules and tariffs for regular passenger service between named cities within the boundaries of either Illinois or Indiana at regular and specified times. The plane trip on which the accident occurred was not a regular and scheduled flight of Turner.</w:t>
      </w:r>
    </w:p>
    <w:p w14:paraId="0DE7B2C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CC305D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trial court found that the deceased at the time of the accident “was not riding as a passenger on an aircraft operated by a scheduled air carrier, as defined in [the] policy,</w:t>
      </w:r>
      <w:r w:rsidRPr="00EF577A">
        <w:rPr>
          <w:color w:val="000000" w:themeColor="text1"/>
          <w:szCs w:val="22"/>
          <w:vertAlign w:val="superscript"/>
        </w:rPr>
        <w:t>1</w:t>
      </w:r>
      <w:r w:rsidRPr="00EF577A">
        <w:rPr>
          <w:color w:val="000000" w:themeColor="text1"/>
          <w:szCs w:val="22"/>
        </w:rPr>
        <w:t xml:space="preserve"> and further ... that he was riding a charter plane from Terre Haute, Indiana, to Chicago, Illinois,” and concluded that appellant could not recover on the policy.</w:t>
      </w:r>
    </w:p>
    <w:p w14:paraId="30C3D8C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C75BD3" w:rsidRPr="00EF577A" w14:paraId="740F9CBD" w14:textId="77777777" w:rsidTr="00A23611">
        <w:tc>
          <w:tcPr>
            <w:tcW w:w="600" w:type="dxa"/>
            <w:tcBorders>
              <w:top w:val="nil"/>
              <w:left w:val="nil"/>
              <w:bottom w:val="nil"/>
              <w:right w:val="nil"/>
            </w:tcBorders>
          </w:tcPr>
          <w:p w14:paraId="645F412C" w14:textId="77777777" w:rsidR="00C75BD3" w:rsidRPr="00EF577A" w:rsidRDefault="00C75BD3" w:rsidP="00A23611">
            <w:pPr>
              <w:widowControl w:val="0"/>
              <w:autoSpaceDE w:val="0"/>
              <w:autoSpaceDN w:val="0"/>
              <w:adjustRightInd w:val="0"/>
              <w:rPr>
                <w:color w:val="000000" w:themeColor="text1"/>
                <w:szCs w:val="22"/>
              </w:rPr>
            </w:pPr>
          </w:p>
        </w:tc>
        <w:tc>
          <w:tcPr>
            <w:tcW w:w="9480" w:type="dxa"/>
            <w:tcBorders>
              <w:top w:val="nil"/>
              <w:left w:val="nil"/>
              <w:bottom w:val="nil"/>
              <w:right w:val="nil"/>
            </w:tcBorders>
            <w:tcMar>
              <w:top w:w="90" w:type="dxa"/>
              <w:bottom w:w="90" w:type="dxa"/>
            </w:tcMar>
          </w:tcPr>
          <w:p w14:paraId="355425C1"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The policy provides in part:</w:t>
            </w:r>
          </w:p>
          <w:p w14:paraId="78391EBF"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“1. Insuring Clause. Ticket or Pass Requirement. The Company will pay the benefits specified below if during the term of this policy the Insured suffers loss resulting directly and independently of all other causes from accidental bodily injury (hereinafter referred to as ‘such injury’) sustained under circumstances specified below during the first one-way or round airline trip taken by the Insured after the purchase of this policy on Aircraft Operated by a Scheduled Air Carrier as defined below from the Point of Departure to the Destination, both shown above, and return if round trip ticket is obtained before departure, provided that at the time that the Insured sustains such injury he is traveling on a transportation ticket or pass covering the whole of said airline trip, issued to him for transportation on an aircraft operated by a scheduled air carrier.”</w:t>
            </w:r>
          </w:p>
          <w:p w14:paraId="425D8A16"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“4. Definition of Aircraft Operated by a Scheduled Air Carrier. The words ‘Aircraft Operated by a Scheduled Air Carrier’ as used in this policy, mean and are defined as follows: (1) aircraft of United States registry, operated on a regular, special or chartered flight by a scheduled air carrier holding a certificate of Public Convenience and Necessity issued by the Civil Aeronautics Board of the United States of America, or its successor, and which in accordance therewith files, prints, maintains and publishes schedules and tariffs for regular passenger service between named cities at regular and specified times, or (2) aircraft of foreign registry ... or (3) aircraft of United States registry operated on a regular scheduled flight solely within the boundaries of a State of the United States by a scheduled air carrier legally authorized to conduct such operation, and which files, prints, maintains and publishes schedules and tariffs for regular passenger service between named cities solely within the boundaries of such State at regular and specified times. Specifically excluded from the above definition of ‘Aircraft Operated by a Scheduled Air Carrier’ are any and all aircraft operated by scheduled military airlines and any and all aircraft operated by air carriers recognized, designated, licensed or determined by the governmental authority having jurisdiction over civil aviation as being irregular or non-scheduled air carriers.”</w:t>
            </w:r>
          </w:p>
          <w:p w14:paraId="19873BD8" w14:textId="77777777" w:rsidR="00C75BD3" w:rsidRPr="00EF577A" w:rsidRDefault="00C75BD3" w:rsidP="00A23611">
            <w:pPr>
              <w:widowControl w:val="0"/>
              <w:autoSpaceDE w:val="0"/>
              <w:autoSpaceDN w:val="0"/>
              <w:adjustRightInd w:val="0"/>
              <w:jc w:val="both"/>
              <w:rPr>
                <w:color w:val="000000" w:themeColor="text1"/>
                <w:szCs w:val="22"/>
              </w:rPr>
            </w:pPr>
          </w:p>
        </w:tc>
      </w:tr>
    </w:tbl>
    <w:p w14:paraId="15FD059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Applying the principle that ambiguous clauses in insurance policies are to be interpreted against the insurer, we believe, for the reasons we shall set out, the provisions of the policy both as to coverage for a substituted flight and as to coverage for scheduled air carriers </w:t>
      </w:r>
      <w:r w:rsidRPr="00EF577A">
        <w:rPr>
          <w:color w:val="000000" w:themeColor="text1"/>
          <w:szCs w:val="22"/>
        </w:rPr>
        <w:lastRenderedPageBreak/>
        <w:t>must be held to impose liability upon the insurer. We shall also explain why we have concluded that Mr. Steven’s failure to exchange his ticket at Terre Haute does not absolve the insurer from such liability.</w:t>
      </w:r>
    </w:p>
    <w:p w14:paraId="26CCEA65"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1E48EB6D"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special circumstances of this case establish a second reason for our conclusion that the insurer cannot successfully claim that the policy did not cover the substituted transportation. In this type of standardized contract, sold by a vending machine, the insured may reasonably expect coverage for the whole trip which he inserted in the policy, including reasonable substituted transportation necessitated by emergency. If the insurer did not propose such coverage, it should have plainly and clearly brought to the attention of the purchaser such limitation of liability.</w:t>
      </w:r>
    </w:p>
    <w:p w14:paraId="6E7C7A0E"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38635389" w14:textId="77777777" w:rsidR="00C75BD3" w:rsidRPr="00EF577A" w:rsidRDefault="00C75BD3" w:rsidP="00C75BD3">
      <w:pPr>
        <w:widowControl w:val="0"/>
        <w:autoSpaceDE w:val="0"/>
        <w:autoSpaceDN w:val="0"/>
        <w:adjustRightInd w:val="0"/>
        <w:jc w:val="both"/>
        <w:rPr>
          <w:color w:val="000000" w:themeColor="text1"/>
          <w:szCs w:val="22"/>
          <w:vertAlign w:val="superscript"/>
        </w:rPr>
      </w:pPr>
      <w:r w:rsidRPr="00EF577A">
        <w:rPr>
          <w:color w:val="000000" w:themeColor="text1"/>
          <w:szCs w:val="22"/>
        </w:rPr>
        <w:t>We turn to the first point. We must determine whether, when Mr. Steven faced the necessity of arranging substituted transportation at Terre Haute, the policy afforded him clear notice of noncoverage of such substituted transportation. We examine the question in the light of the purpose and intent of the parties in entering into the contract, Mr. Steven’s knowledge and understanding as a reasonable layman, his normal expectation of the extent of coverage of the policy and the effect, if any, of the substitution of the transportation upon the risk undertaken by the insurer.</w:t>
      </w:r>
    </w:p>
    <w:p w14:paraId="558890B3"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bookmarkStart w:id="91" w:name="co_footnote_N10335_1"/>
      <w:bookmarkStart w:id="92" w:name="co_footnote_N10367_1"/>
      <w:bookmarkEnd w:id="91"/>
      <w:bookmarkEnd w:id="92"/>
    </w:p>
    <w:p w14:paraId="73240C6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purpose and intent of the insured in taking out the insurance was to obtain insurance protection for the trip. The insured could fairly believe that the policy would cover a reasonable emergency substitution necessitated by the exigencies of the situation. Since weather conditions and mechanical failure upon not infrequent occasions require such substitution, the insured would not ordinarily expect that his insurance would fail in the event of these foreseeable contingencies. Since his contract covered the </w:t>
      </w:r>
      <w:r w:rsidRPr="00EF577A">
        <w:rPr>
          <w:i/>
          <w:iCs/>
          <w:color w:val="000000" w:themeColor="text1"/>
          <w:szCs w:val="22"/>
        </w:rPr>
        <w:t>trip,</w:t>
      </w:r>
      <w:r w:rsidRPr="00EF577A">
        <w:rPr>
          <w:color w:val="000000" w:themeColor="text1"/>
          <w:szCs w:val="22"/>
        </w:rPr>
        <w:t xml:space="preserve"> he would not contemplate a hiatus in coverage; he bargained for protection for the whole, not part of, the trip.</w:t>
      </w:r>
    </w:p>
    <w:p w14:paraId="48FBA78D"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79579C9E"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A reasonable person, having bought his ticket for a fixed itinerary, and thus having at the moment of purchase of the policy gained insurance protection for the whole trip, would normally expect that if a flight were interrupted by breakdown or other causes, his coverage would apply to substitute transportation for the same flight. If, for instance, the scheduled plane crash-landed, he would certainly assume that the policy covered the emergency relief plane whether or not it </w:t>
      </w:r>
      <w:proofErr w:type="gramStart"/>
      <w:r w:rsidRPr="00EF577A">
        <w:rPr>
          <w:color w:val="000000" w:themeColor="text1"/>
          <w:szCs w:val="22"/>
        </w:rPr>
        <w:t>were</w:t>
      </w:r>
      <w:proofErr w:type="gramEnd"/>
      <w:r w:rsidRPr="00EF577A">
        <w:rPr>
          <w:color w:val="000000" w:themeColor="text1"/>
          <w:szCs w:val="22"/>
        </w:rPr>
        <w:t xml:space="preserve"> a scheduled air liner. The same normal expectation would apply to the substitution of an alternate plane because the scheduled one had been grounded by mechanical failure.</w:t>
      </w:r>
    </w:p>
    <w:p w14:paraId="312055C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4087A13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risk of injury on the substitute conveyance in many cases will be no greater than the risk on the scheduled flight; in all cases it will be less than if the scheduled airline attempts to fly the scheduled flight despite bad weather or mechanical difficulty. Thus, both in the terms of occurrence and magnitude of risk, substitute emergency transportation falls well within the obligation undertaken by the insurer.</w:t>
      </w:r>
    </w:p>
    <w:p w14:paraId="2E40805E"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7B895143"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language of the policy does not specifically exclude the expected coverage for the substituted flight. Neither the insuring clause, the definitions of a scheduled air carrier nor section 3(b) </w:t>
      </w:r>
      <w:r w:rsidRPr="00EF577A">
        <w:rPr>
          <w:i/>
          <w:iCs/>
          <w:color w:val="000000" w:themeColor="text1"/>
          <w:szCs w:val="22"/>
        </w:rPr>
        <w:t>infra.</w:t>
      </w:r>
      <w:r w:rsidRPr="00EF577A">
        <w:rPr>
          <w:color w:val="000000" w:themeColor="text1"/>
          <w:szCs w:val="22"/>
        </w:rPr>
        <w:t xml:space="preserve"> negates, without ambiguity, protection for the emergency substitute flight.</w:t>
      </w:r>
    </w:p>
    <w:p w14:paraId="5DFF839B"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lastRenderedPageBreak/>
        <w:t> </w:t>
      </w:r>
    </w:p>
    <w:p w14:paraId="2E68AC5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insuring clause alludes to a loss occurring “during the first one-way or round airline trip taken by the Insured after the purchase of this policy on Aircraft Operated by a Scheduled Air Carrier as defined below. ...” and does not mention the subject of substitution of another carrier in the event of breakdown. Section 4, which defines “aircraft operated by a scheduled air carrier” differentiates between the scheduled and nonscheduled carriers but likewise does not describe the accorded coverage if an emergency causes the use of a non-scheduled carrier. These sections provide that the policy applies, as the heading in the box states, to the “round trip ticket ... purchased before departure.” Mr. Steven complied with these requirements: he purchased the </w:t>
      </w:r>
      <w:proofErr w:type="gramStart"/>
      <w:r w:rsidRPr="00EF577A">
        <w:rPr>
          <w:color w:val="000000" w:themeColor="text1"/>
          <w:szCs w:val="22"/>
        </w:rPr>
        <w:t>round trip</w:t>
      </w:r>
      <w:proofErr w:type="gramEnd"/>
      <w:r w:rsidRPr="00EF577A">
        <w:rPr>
          <w:color w:val="000000" w:themeColor="text1"/>
          <w:szCs w:val="22"/>
        </w:rPr>
        <w:t xml:space="preserve"> ticket on the scheduled airliner, and, when initially ensconced upon his plane, enjoyed the protection of his policy.</w:t>
      </w:r>
    </w:p>
    <w:p w14:paraId="00A8A06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01E99F5"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only allusion to substituted transportation in the policy, contained in clause 3(b), does not in and of itself exclude coverage for the Turner flight. This provision affirmatively extends coverage to injuries sustained “while riding in or on a land conveyance provided or arranged for, directly or indirectly, by such scheduled air carrier ... for the transportation of passengers necessitated by an interruption or temporary suspension of such scheduled air carrier’s service. ...” It thus makes clear that, at least in some cases, substitute emergency transportation will be included in the policy, and that, despite the narrowing of the insuring clause of the policy to “Aircraft Operated by a Scheduled Air Carrier,” coverage may be extended to a nonscheduled nonflying vehicle not operated by an air carrier.</w:t>
      </w:r>
    </w:p>
    <w:p w14:paraId="1105469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1271D41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crucial issue resolves into whether the limitation of that extension to “land conveyances” sufficiently overcomes the normal expectation that coverage would extend to </w:t>
      </w:r>
      <w:r w:rsidRPr="00EF577A">
        <w:rPr>
          <w:i/>
          <w:iCs/>
          <w:color w:val="000000" w:themeColor="text1"/>
          <w:szCs w:val="22"/>
        </w:rPr>
        <w:t>any reasonable form of substitute conveyance.</w:t>
      </w:r>
      <w:r w:rsidRPr="00EF577A">
        <w:rPr>
          <w:color w:val="000000" w:themeColor="text1"/>
          <w:szCs w:val="22"/>
        </w:rPr>
        <w:t xml:space="preserve"> The clause clearly does not specifically </w:t>
      </w:r>
      <w:r w:rsidRPr="00EF577A">
        <w:rPr>
          <w:i/>
          <w:iCs/>
          <w:color w:val="000000" w:themeColor="text1"/>
          <w:szCs w:val="22"/>
        </w:rPr>
        <w:t>exclude</w:t>
      </w:r>
      <w:r w:rsidRPr="00EF577A">
        <w:rPr>
          <w:color w:val="000000" w:themeColor="text1"/>
          <w:szCs w:val="22"/>
        </w:rPr>
        <w:t xml:space="preserve"> substitute emergency aircraft; it does not mention nonland conveyances at all. An inference of such noncoverage could arise only with the aid of the rule of construction </w:t>
      </w:r>
      <w:proofErr w:type="spellStart"/>
      <w:r w:rsidRPr="00EF577A">
        <w:rPr>
          <w:i/>
          <w:iCs/>
          <w:color w:val="000000" w:themeColor="text1"/>
          <w:szCs w:val="22"/>
        </w:rPr>
        <w:t>expressio</w:t>
      </w:r>
      <w:proofErr w:type="spellEnd"/>
      <w:r w:rsidRPr="00EF577A">
        <w:rPr>
          <w:i/>
          <w:iCs/>
          <w:color w:val="000000" w:themeColor="text1"/>
          <w:szCs w:val="22"/>
        </w:rPr>
        <w:t xml:space="preserve"> </w:t>
      </w:r>
      <w:proofErr w:type="spellStart"/>
      <w:r w:rsidRPr="00EF577A">
        <w:rPr>
          <w:i/>
          <w:iCs/>
          <w:color w:val="000000" w:themeColor="text1"/>
          <w:szCs w:val="22"/>
        </w:rPr>
        <w:t>unius</w:t>
      </w:r>
      <w:proofErr w:type="spellEnd"/>
      <w:r w:rsidRPr="00EF577A">
        <w:rPr>
          <w:i/>
          <w:iCs/>
          <w:color w:val="000000" w:themeColor="text1"/>
          <w:szCs w:val="22"/>
        </w:rPr>
        <w:t xml:space="preserve"> </w:t>
      </w:r>
      <w:proofErr w:type="spellStart"/>
      <w:r w:rsidRPr="00EF577A">
        <w:rPr>
          <w:i/>
          <w:iCs/>
          <w:color w:val="000000" w:themeColor="text1"/>
          <w:szCs w:val="22"/>
        </w:rPr>
        <w:t>est</w:t>
      </w:r>
      <w:proofErr w:type="spellEnd"/>
      <w:r w:rsidRPr="00EF577A">
        <w:rPr>
          <w:i/>
          <w:iCs/>
          <w:color w:val="000000" w:themeColor="text1"/>
          <w:szCs w:val="22"/>
        </w:rPr>
        <w:t xml:space="preserve"> </w:t>
      </w:r>
      <w:proofErr w:type="spellStart"/>
      <w:r w:rsidRPr="00EF577A">
        <w:rPr>
          <w:i/>
          <w:iCs/>
          <w:color w:val="000000" w:themeColor="text1"/>
          <w:szCs w:val="22"/>
        </w:rPr>
        <w:t>exclusio</w:t>
      </w:r>
      <w:proofErr w:type="spellEnd"/>
      <w:r w:rsidRPr="00EF577A">
        <w:rPr>
          <w:i/>
          <w:iCs/>
          <w:color w:val="000000" w:themeColor="text1"/>
          <w:szCs w:val="22"/>
        </w:rPr>
        <w:t xml:space="preserve"> </w:t>
      </w:r>
      <w:proofErr w:type="spellStart"/>
      <w:r w:rsidRPr="00EF577A">
        <w:rPr>
          <w:i/>
          <w:iCs/>
          <w:color w:val="000000" w:themeColor="text1"/>
          <w:szCs w:val="22"/>
        </w:rPr>
        <w:t>alterius</w:t>
      </w:r>
      <w:proofErr w:type="spellEnd"/>
      <w:r w:rsidRPr="00EF577A">
        <w:rPr>
          <w:i/>
          <w:iCs/>
          <w:color w:val="000000" w:themeColor="text1"/>
          <w:szCs w:val="22"/>
        </w:rPr>
        <w:t>;</w:t>
      </w:r>
      <w:r w:rsidRPr="00EF577A">
        <w:rPr>
          <w:color w:val="000000" w:themeColor="text1"/>
          <w:szCs w:val="22"/>
        </w:rPr>
        <w:t xml:space="preserve"> i.e., that mention of one matter implies the exclusion of all others.</w:t>
      </w:r>
    </w:p>
    <w:p w14:paraId="33E249E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B39EAB4"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We do not believe the application of the maxim can resolve the present case. The maxim serves as an aid to resolve the ambiguities of a contract. If we invoke the </w:t>
      </w:r>
      <w:proofErr w:type="spellStart"/>
      <w:r w:rsidRPr="00EF577A">
        <w:rPr>
          <w:i/>
          <w:iCs/>
          <w:color w:val="000000" w:themeColor="text1"/>
          <w:szCs w:val="22"/>
        </w:rPr>
        <w:t>expressio</w:t>
      </w:r>
      <w:proofErr w:type="spellEnd"/>
      <w:r w:rsidRPr="00EF577A">
        <w:rPr>
          <w:i/>
          <w:iCs/>
          <w:color w:val="000000" w:themeColor="text1"/>
          <w:szCs w:val="22"/>
        </w:rPr>
        <w:t xml:space="preserve"> </w:t>
      </w:r>
      <w:proofErr w:type="spellStart"/>
      <w:r w:rsidRPr="00EF577A">
        <w:rPr>
          <w:i/>
          <w:iCs/>
          <w:color w:val="000000" w:themeColor="text1"/>
          <w:szCs w:val="22"/>
        </w:rPr>
        <w:t>unius</w:t>
      </w:r>
      <w:proofErr w:type="spellEnd"/>
      <w:r w:rsidRPr="00EF577A">
        <w:rPr>
          <w:color w:val="000000" w:themeColor="text1"/>
          <w:szCs w:val="22"/>
        </w:rPr>
        <w:t xml:space="preserve"> approach, we must necessarily thereby recognize the ambiguity of the contract; in that event other legal techniques for the resolution of ambiguities, including the rule that they should be interpreted against the draftsman, also come into play. Thus </w:t>
      </w:r>
      <w:hyperlink r:id="rId80" w:history="1">
        <w:r w:rsidRPr="00EF577A">
          <w:rPr>
            <w:i/>
            <w:iCs/>
            <w:color w:val="000000" w:themeColor="text1"/>
            <w:szCs w:val="22"/>
          </w:rPr>
          <w:t>McNee v. Harold Hensgen &amp; Associates</w:t>
        </w:r>
        <w:r w:rsidRPr="00EF577A">
          <w:rPr>
            <w:color w:val="000000" w:themeColor="text1"/>
            <w:szCs w:val="22"/>
          </w:rPr>
          <w:t xml:space="preserve"> (1960) 178 Cal.App.2d 881</w:t>
        </w:r>
      </w:hyperlink>
      <w:r w:rsidRPr="00EF577A">
        <w:rPr>
          <w:color w:val="000000" w:themeColor="text1"/>
          <w:szCs w:val="22"/>
        </w:rPr>
        <w:t xml:space="preserve"> [</w:t>
      </w:r>
      <w:hyperlink r:id="rId81" w:history="1">
        <w:r w:rsidRPr="00EF577A">
          <w:rPr>
            <w:color w:val="000000" w:themeColor="text1"/>
            <w:szCs w:val="22"/>
          </w:rPr>
          <w:t xml:space="preserve">3 </w:t>
        </w:r>
        <w:proofErr w:type="spellStart"/>
        <w:r w:rsidRPr="00EF577A">
          <w:rPr>
            <w:color w:val="000000" w:themeColor="text1"/>
            <w:szCs w:val="22"/>
          </w:rPr>
          <w:t>Cal.Rptr</w:t>
        </w:r>
        <w:proofErr w:type="spellEnd"/>
        <w:r w:rsidRPr="00EF577A">
          <w:rPr>
            <w:color w:val="000000" w:themeColor="text1"/>
            <w:szCs w:val="22"/>
          </w:rPr>
          <w:t>. 377],</w:t>
        </w:r>
      </w:hyperlink>
      <w:r w:rsidRPr="00EF577A">
        <w:rPr>
          <w:color w:val="000000" w:themeColor="text1"/>
          <w:szCs w:val="22"/>
        </w:rPr>
        <w:t xml:space="preserve"> holds that if the applicability of a contract provision can be determined only by use of the maxim </w:t>
      </w:r>
      <w:proofErr w:type="spellStart"/>
      <w:r w:rsidRPr="00EF577A">
        <w:rPr>
          <w:i/>
          <w:iCs/>
          <w:color w:val="000000" w:themeColor="text1"/>
          <w:szCs w:val="22"/>
        </w:rPr>
        <w:t>expressio</w:t>
      </w:r>
      <w:proofErr w:type="spellEnd"/>
      <w:r w:rsidRPr="00EF577A">
        <w:rPr>
          <w:i/>
          <w:iCs/>
          <w:color w:val="000000" w:themeColor="text1"/>
          <w:szCs w:val="22"/>
        </w:rPr>
        <w:t xml:space="preserve"> </w:t>
      </w:r>
      <w:proofErr w:type="spellStart"/>
      <w:r w:rsidRPr="00EF577A">
        <w:rPr>
          <w:i/>
          <w:iCs/>
          <w:color w:val="000000" w:themeColor="text1"/>
          <w:szCs w:val="22"/>
        </w:rPr>
        <w:t>unius</w:t>
      </w:r>
      <w:proofErr w:type="spellEnd"/>
      <w:r w:rsidRPr="00EF577A">
        <w:rPr>
          <w:i/>
          <w:iCs/>
          <w:color w:val="000000" w:themeColor="text1"/>
          <w:szCs w:val="22"/>
        </w:rPr>
        <w:t>,</w:t>
      </w:r>
      <w:r w:rsidRPr="00EF577A">
        <w:rPr>
          <w:color w:val="000000" w:themeColor="text1"/>
          <w:szCs w:val="22"/>
        </w:rPr>
        <w:t xml:space="preserve"> the contract is ambiguous, and extrinsic evidence is therefore admissible to prove the intent of the parties.</w:t>
      </w:r>
    </w:p>
    <w:p w14:paraId="47EDAF5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46B8B8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rule of resolving ambiguities against the insurer does not serve as a mere tie-breaker; it rests upon fundamental considerations of policy. In view of the somewhat fictional nature of intent in standardized contracts, the considerations which support the rule that ambiguities in the policy are to be interpreted against the insurer are more compelling than those which prompt the application of the </w:t>
      </w:r>
      <w:proofErr w:type="spellStart"/>
      <w:r w:rsidRPr="00EF577A">
        <w:rPr>
          <w:color w:val="000000" w:themeColor="text1"/>
          <w:szCs w:val="22"/>
        </w:rPr>
        <w:t>mechnical</w:t>
      </w:r>
      <w:proofErr w:type="spellEnd"/>
      <w:r w:rsidRPr="00EF577A">
        <w:rPr>
          <w:color w:val="000000" w:themeColor="text1"/>
          <w:szCs w:val="22"/>
        </w:rPr>
        <w:t xml:space="preserve"> </w:t>
      </w:r>
      <w:proofErr w:type="spellStart"/>
      <w:r w:rsidRPr="00EF577A">
        <w:rPr>
          <w:i/>
          <w:iCs/>
          <w:color w:val="000000" w:themeColor="text1"/>
          <w:szCs w:val="22"/>
        </w:rPr>
        <w:t>expressio</w:t>
      </w:r>
      <w:proofErr w:type="spellEnd"/>
      <w:r w:rsidRPr="00EF577A">
        <w:rPr>
          <w:i/>
          <w:iCs/>
          <w:color w:val="000000" w:themeColor="text1"/>
          <w:szCs w:val="22"/>
        </w:rPr>
        <w:t xml:space="preserve"> </w:t>
      </w:r>
      <w:proofErr w:type="spellStart"/>
      <w:r w:rsidRPr="00EF577A">
        <w:rPr>
          <w:i/>
          <w:iCs/>
          <w:color w:val="000000" w:themeColor="text1"/>
          <w:szCs w:val="22"/>
        </w:rPr>
        <w:t>unius</w:t>
      </w:r>
      <w:proofErr w:type="spellEnd"/>
      <w:r w:rsidRPr="00EF577A">
        <w:rPr>
          <w:color w:val="000000" w:themeColor="text1"/>
          <w:szCs w:val="22"/>
        </w:rPr>
        <w:t xml:space="preserve"> maxim. We do not believe the maxim should serve to defeat the basic rule that the insurance contract should be interpreted against the draftsman.</w:t>
      </w:r>
    </w:p>
    <w:p w14:paraId="2CD53A86"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B32F72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lastRenderedPageBreak/>
        <w:t xml:space="preserve">In any event, the maxim of </w:t>
      </w:r>
      <w:proofErr w:type="spellStart"/>
      <w:r w:rsidRPr="00EF577A">
        <w:rPr>
          <w:i/>
          <w:iCs/>
          <w:color w:val="000000" w:themeColor="text1"/>
          <w:szCs w:val="22"/>
        </w:rPr>
        <w:t>expressio</w:t>
      </w:r>
      <w:proofErr w:type="spellEnd"/>
      <w:r w:rsidRPr="00EF577A">
        <w:rPr>
          <w:i/>
          <w:iCs/>
          <w:color w:val="000000" w:themeColor="text1"/>
          <w:szCs w:val="22"/>
        </w:rPr>
        <w:t xml:space="preserve"> </w:t>
      </w:r>
      <w:proofErr w:type="spellStart"/>
      <w:r w:rsidRPr="00EF577A">
        <w:rPr>
          <w:i/>
          <w:iCs/>
          <w:color w:val="000000" w:themeColor="text1"/>
          <w:szCs w:val="22"/>
        </w:rPr>
        <w:t>unius</w:t>
      </w:r>
      <w:proofErr w:type="spellEnd"/>
      <w:r w:rsidRPr="00EF577A">
        <w:rPr>
          <w:i/>
          <w:iCs/>
          <w:color w:val="000000" w:themeColor="text1"/>
          <w:szCs w:val="22"/>
        </w:rPr>
        <w:t>,</w:t>
      </w:r>
      <w:r w:rsidRPr="00EF577A">
        <w:rPr>
          <w:color w:val="000000" w:themeColor="text1"/>
          <w:szCs w:val="22"/>
        </w:rPr>
        <w:t xml:space="preserve"> which is surely a legalistic concept, hardly enters into the thinking of the reasonable layman. As we have stated, we interpret an insurance contract in the light of that understanding. We could not logically conclude that when Mr. Steven, unversed in legal abstractions, boarded the Turner plane at Terre Haute, he invoked this maxim of interpretation.</w:t>
      </w:r>
    </w:p>
    <w:p w14:paraId="3D40702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C1B71F7" w14:textId="77777777" w:rsidR="00C75BD3" w:rsidRPr="00EF577A" w:rsidRDefault="00C75BD3" w:rsidP="00C75BD3">
      <w:pPr>
        <w:widowControl w:val="0"/>
        <w:autoSpaceDE w:val="0"/>
        <w:autoSpaceDN w:val="0"/>
        <w:adjustRightInd w:val="0"/>
        <w:jc w:val="both"/>
        <w:rPr>
          <w:color w:val="000000" w:themeColor="text1"/>
          <w:szCs w:val="22"/>
          <w:vertAlign w:val="superscript"/>
        </w:rPr>
      </w:pPr>
      <w:r w:rsidRPr="00EF577A">
        <w:rPr>
          <w:color w:val="000000" w:themeColor="text1"/>
          <w:szCs w:val="22"/>
        </w:rPr>
        <w:t xml:space="preserve">The facts of this case buttress the above conclusion. Mr. Steven planned a round trip entirely on scheduled air carriers; he purchased his policy with the expectation that it would provide insurance against death or injury in such contingencies as might arise in the course of such a trip. In Terre Haute, Mr. Steven, upon learning that the Lake Central flight had been cancelled, exhausted all of the possibilities of obtaining substitute land transportation. He could complete his original itinerary only by the Turner flight. Indeed, the Lake Central agent suggested the Turner substitution, took him over to the Turner office and introduced him to the Turner agent. While the policy specified coverage for injuries suffered in a </w:t>
      </w:r>
      <w:r w:rsidRPr="00EF577A">
        <w:rPr>
          <w:i/>
          <w:iCs/>
          <w:color w:val="000000" w:themeColor="text1"/>
          <w:szCs w:val="22"/>
        </w:rPr>
        <w:t>land</w:t>
      </w:r>
      <w:r w:rsidRPr="00EF577A">
        <w:rPr>
          <w:color w:val="000000" w:themeColor="text1"/>
          <w:szCs w:val="22"/>
        </w:rPr>
        <w:t xml:space="preserve"> conveyance provided by the scheduled carrier, it contains no statement whatsoever as to such substituted </w:t>
      </w:r>
      <w:r w:rsidRPr="00EF577A">
        <w:rPr>
          <w:i/>
          <w:iCs/>
          <w:color w:val="000000" w:themeColor="text1"/>
          <w:szCs w:val="22"/>
        </w:rPr>
        <w:t>air</w:t>
      </w:r>
      <w:r w:rsidRPr="00EF577A">
        <w:rPr>
          <w:color w:val="000000" w:themeColor="text1"/>
          <w:szCs w:val="22"/>
        </w:rPr>
        <w:t xml:space="preserve"> conveyance. We do not see how such verbal vacuity can serve as clear and plain notice to the insured of noncoverage.</w:t>
      </w:r>
    </w:p>
    <w:p w14:paraId="73EFFCD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58C4153B" w14:textId="77777777" w:rsidR="00C75BD3" w:rsidRPr="00EF577A" w:rsidRDefault="00C75BD3" w:rsidP="00C75BD3">
      <w:pPr>
        <w:widowControl w:val="0"/>
        <w:autoSpaceDE w:val="0"/>
        <w:autoSpaceDN w:val="0"/>
        <w:adjustRightInd w:val="0"/>
        <w:jc w:val="both"/>
        <w:rPr>
          <w:i/>
          <w:iCs/>
          <w:color w:val="000000" w:themeColor="text1"/>
          <w:szCs w:val="22"/>
        </w:rPr>
      </w:pPr>
      <w:r w:rsidRPr="00EF577A">
        <w:rPr>
          <w:color w:val="000000" w:themeColor="text1"/>
          <w:szCs w:val="22"/>
        </w:rPr>
        <w:t xml:space="preserve">We therefore conclude that section 3(b) should not be interpreted to restrict coverage exclusively to land conveyances. The policy did not clearly notify Mr. Steven that in spite of his expectation, and in view of the intention of the parties in entering into the contract, the coverage did not extend to a substitute flight in the event of emergency. The provision for substitute transportation did not clearly overcome the normal expectation that coverage would extend to </w:t>
      </w:r>
      <w:r w:rsidRPr="00EF577A">
        <w:rPr>
          <w:i/>
          <w:iCs/>
          <w:color w:val="000000" w:themeColor="text1"/>
          <w:szCs w:val="22"/>
        </w:rPr>
        <w:t>any reasonable form of substitute conveyance.</w:t>
      </w:r>
    </w:p>
    <w:p w14:paraId="756F50C5"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4A7A9BB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Turning to the second aspect of the policy which affects the substituted Turner flight, that is, the definition of scheduled air carrier, we find that it, too, created an ambiguity and failed to apprise Mr. Steven of the asserted non-coverage.</w:t>
      </w:r>
    </w:p>
    <w:p w14:paraId="5CB38E2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F6202A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definition, set out in the fourth provision of the policy, states: “The words ‘Aircraft Operated by a Scheduled Air Carrier’ as used in this policy, mean and are defined as follows: (1) aircraft of United States registry, operated on a </w:t>
      </w:r>
      <w:r w:rsidRPr="00EF577A">
        <w:rPr>
          <w:i/>
          <w:iCs/>
          <w:color w:val="000000" w:themeColor="text1"/>
          <w:szCs w:val="22"/>
        </w:rPr>
        <w:t>regular,</w:t>
      </w:r>
      <w:r w:rsidRPr="00EF577A">
        <w:rPr>
          <w:color w:val="000000" w:themeColor="text1"/>
          <w:szCs w:val="22"/>
        </w:rPr>
        <w:t xml:space="preserve"> special or chartered flight by a </w:t>
      </w:r>
      <w:r w:rsidRPr="00EF577A">
        <w:rPr>
          <w:i/>
          <w:iCs/>
          <w:color w:val="000000" w:themeColor="text1"/>
          <w:szCs w:val="22"/>
        </w:rPr>
        <w:t>scheduled air carrier</w:t>
      </w:r>
      <w:r w:rsidRPr="00EF577A">
        <w:rPr>
          <w:color w:val="000000" w:themeColor="text1"/>
          <w:szCs w:val="22"/>
        </w:rPr>
        <w:t xml:space="preserve"> holding a Certificate of Public Convenience and Necessity issued by the Civil Aeronautics Board... and which in accordance therewith files, prints, maintains and publishes schedules and tariffs for regular passenger service between named cities at regular and specified times. ... Specifically </w:t>
      </w:r>
      <w:r w:rsidRPr="00EF577A">
        <w:rPr>
          <w:i/>
          <w:iCs/>
          <w:color w:val="000000" w:themeColor="text1"/>
          <w:szCs w:val="22"/>
        </w:rPr>
        <w:t>excluded</w:t>
      </w:r>
      <w:r w:rsidRPr="00EF577A">
        <w:rPr>
          <w:color w:val="000000" w:themeColor="text1"/>
          <w:szCs w:val="22"/>
        </w:rPr>
        <w:t xml:space="preserve"> from the above definition of ‘Aircraft Operated by a Scheduled Air Carrier’ are any and all aircraft operated by scheduled </w:t>
      </w:r>
      <w:r w:rsidRPr="00EF577A">
        <w:rPr>
          <w:i/>
          <w:iCs/>
          <w:color w:val="000000" w:themeColor="text1"/>
          <w:szCs w:val="22"/>
        </w:rPr>
        <w:t>military airlines</w:t>
      </w:r>
      <w:r w:rsidRPr="00EF577A">
        <w:rPr>
          <w:color w:val="000000" w:themeColor="text1"/>
          <w:szCs w:val="22"/>
        </w:rPr>
        <w:t xml:space="preserve"> and any and all aircraft operated by air carriers recognized, designated, licensed or determined by the governmental authority having jurisdiction over civil aviation as being </w:t>
      </w:r>
      <w:r w:rsidRPr="00EF577A">
        <w:rPr>
          <w:i/>
          <w:iCs/>
          <w:color w:val="000000" w:themeColor="text1"/>
          <w:szCs w:val="22"/>
        </w:rPr>
        <w:t>irregular or non-scheduled</w:t>
      </w:r>
      <w:r w:rsidRPr="00EF577A">
        <w:rPr>
          <w:color w:val="000000" w:themeColor="text1"/>
          <w:szCs w:val="22"/>
        </w:rPr>
        <w:t xml:space="preserve"> air carriers.” (Emphasis added.)</w:t>
      </w:r>
    </w:p>
    <w:p w14:paraId="1E0CA44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605EE2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The regulations of the Civil Aeronautics Board do not divide airlines into scheduled and nonscheduled carriers but, instead, establish a number of classifications. One class consists of carriers holding board certificates of convenience and necessity; airlines of this class comply completely with the definition in the policy of “scheduled air carrier.” On the other hand, the only classification which contains the designation “irregular or non- scheduled air carriers” is that of “large irregular carriers,” which is defined in </w:t>
      </w:r>
      <w:hyperlink r:id="rId82" w:history="1">
        <w:r w:rsidRPr="00EF577A">
          <w:rPr>
            <w:color w:val="000000" w:themeColor="text1"/>
            <w:szCs w:val="22"/>
          </w:rPr>
          <w:t xml:space="preserve">14 Code of Federal </w:t>
        </w:r>
        <w:r w:rsidRPr="00EF577A">
          <w:rPr>
            <w:color w:val="000000" w:themeColor="text1"/>
            <w:szCs w:val="22"/>
          </w:rPr>
          <w:lastRenderedPageBreak/>
          <w:t>Regulations section 291.1</w:t>
        </w:r>
      </w:hyperlink>
      <w:r w:rsidRPr="00EF577A">
        <w:rPr>
          <w:color w:val="000000" w:themeColor="text1"/>
          <w:szCs w:val="22"/>
        </w:rPr>
        <w:t xml:space="preserve"> as carriers flying planes of more than 12,500 lbs. weight without certificates of public convenience and necessity, and not flying regular routes.</w:t>
      </w:r>
    </w:p>
    <w:p w14:paraId="0C8E7C9B" w14:textId="77777777" w:rsidR="00C75BD3" w:rsidRPr="00EF577A" w:rsidRDefault="00C75BD3" w:rsidP="00C75BD3">
      <w:pPr>
        <w:widowControl w:val="0"/>
        <w:autoSpaceDE w:val="0"/>
        <w:autoSpaceDN w:val="0"/>
        <w:adjustRightInd w:val="0"/>
        <w:jc w:val="both"/>
        <w:rPr>
          <w:color w:val="000000" w:themeColor="text1"/>
          <w:szCs w:val="22"/>
          <w:vertAlign w:val="superscript"/>
        </w:rPr>
      </w:pPr>
    </w:p>
    <w:p w14:paraId="514EF464"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Turner Aviation did not fall within either of the above classifications. Instead, it held a certificate as an air-taxi operator, defined in </w:t>
      </w:r>
      <w:hyperlink r:id="rId83" w:history="1">
        <w:r w:rsidRPr="00EF577A">
          <w:rPr>
            <w:color w:val="000000" w:themeColor="text1"/>
            <w:szCs w:val="22"/>
          </w:rPr>
          <w:t>14 Code of Federal Regulations section 298.3</w:t>
        </w:r>
      </w:hyperlink>
      <w:r w:rsidRPr="00EF577A">
        <w:rPr>
          <w:color w:val="000000" w:themeColor="text1"/>
          <w:szCs w:val="22"/>
        </w:rPr>
        <w:t xml:space="preserve"> as a carrier using planes of less than 12,500 lbs. weight and not having a certificate of public convenience and necessity.</w:t>
      </w:r>
      <w:r w:rsidRPr="00EF577A">
        <w:rPr>
          <w:color w:val="000000" w:themeColor="text1"/>
          <w:szCs w:val="22"/>
          <w:vertAlign w:val="superscript"/>
        </w:rPr>
        <w:t>7</w:t>
      </w:r>
      <w:r w:rsidRPr="00EF577A">
        <w:rPr>
          <w:color w:val="000000" w:themeColor="text1"/>
          <w:szCs w:val="22"/>
        </w:rPr>
        <w:t xml:space="preserve"> The definition of air-taxi carrier does not mention regularity of flights; with certain exceptions not here pertinent an air-taxi carrier may, without obtaining a certificate of public convenience and necessity, publish and maintain schedules for regular passenger service. Turner, however, did not publish schedules. No evidence was introduced to show whether Turner maintained regular service, although </w:t>
      </w:r>
      <w:hyperlink r:id="rId84" w:history="1">
        <w:r w:rsidRPr="00EF577A">
          <w:rPr>
            <w:color w:val="000000" w:themeColor="text1"/>
            <w:szCs w:val="22"/>
          </w:rPr>
          <w:t>14 Code of Federal Regulations section 298.21</w:t>
        </w:r>
      </w:hyperlink>
      <w:r w:rsidRPr="00EF577A">
        <w:rPr>
          <w:color w:val="000000" w:themeColor="text1"/>
          <w:szCs w:val="22"/>
        </w:rPr>
        <w:t>, which prohibits air-taxi operators from holding out to perform “regular” service in competition with scheduled helicopter service, appears to make maintenance of regular schedules the distinction between “regular” and “irregular” air-taxi service.</w:t>
      </w:r>
    </w:p>
    <w:p w14:paraId="5D026F00"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C75BD3" w:rsidRPr="00EF577A" w14:paraId="6D6EC3BD" w14:textId="77777777" w:rsidTr="00A23611">
        <w:tc>
          <w:tcPr>
            <w:tcW w:w="600" w:type="dxa"/>
            <w:tcBorders>
              <w:top w:val="nil"/>
              <w:left w:val="nil"/>
              <w:bottom w:val="nil"/>
              <w:right w:val="nil"/>
            </w:tcBorders>
          </w:tcPr>
          <w:p w14:paraId="41694890" w14:textId="77777777" w:rsidR="00C75BD3" w:rsidRPr="00EF577A" w:rsidRDefault="00C75BD3" w:rsidP="00A23611">
            <w:pPr>
              <w:widowControl w:val="0"/>
              <w:autoSpaceDE w:val="0"/>
              <w:autoSpaceDN w:val="0"/>
              <w:adjustRightInd w:val="0"/>
              <w:rPr>
                <w:color w:val="000000" w:themeColor="text1"/>
                <w:szCs w:val="22"/>
              </w:rPr>
            </w:pPr>
            <w:r w:rsidRPr="00EF577A">
              <w:rPr>
                <w:color w:val="000000" w:themeColor="text1"/>
                <w:szCs w:val="22"/>
              </w:rPr>
              <w:t>7</w:t>
            </w:r>
          </w:p>
          <w:p w14:paraId="7F1195EC" w14:textId="77777777" w:rsidR="00C75BD3" w:rsidRPr="00EF577A" w:rsidRDefault="00C75BD3" w:rsidP="00A23611">
            <w:pPr>
              <w:widowControl w:val="0"/>
              <w:autoSpaceDE w:val="0"/>
              <w:autoSpaceDN w:val="0"/>
              <w:adjustRightInd w:val="0"/>
              <w:rPr>
                <w:color w:val="000000" w:themeColor="text1"/>
                <w:szCs w:val="22"/>
              </w:rPr>
            </w:pPr>
          </w:p>
        </w:tc>
        <w:tc>
          <w:tcPr>
            <w:tcW w:w="9480" w:type="dxa"/>
            <w:tcBorders>
              <w:top w:val="nil"/>
              <w:left w:val="nil"/>
              <w:bottom w:val="nil"/>
              <w:right w:val="nil"/>
            </w:tcBorders>
            <w:tcMar>
              <w:top w:w="90" w:type="dxa"/>
              <w:bottom w:w="90" w:type="dxa"/>
            </w:tcMar>
          </w:tcPr>
          <w:p w14:paraId="60B1883A" w14:textId="77777777" w:rsidR="00C75BD3" w:rsidRPr="00EF577A" w:rsidRDefault="00C75BD3" w:rsidP="00A23611">
            <w:pPr>
              <w:widowControl w:val="0"/>
              <w:autoSpaceDE w:val="0"/>
              <w:autoSpaceDN w:val="0"/>
              <w:adjustRightInd w:val="0"/>
              <w:jc w:val="both"/>
              <w:rPr>
                <w:color w:val="000000" w:themeColor="text1"/>
                <w:szCs w:val="22"/>
              </w:rPr>
            </w:pPr>
            <w:hyperlink r:id="rId85" w:history="1">
              <w:r w:rsidRPr="00EF577A">
                <w:rPr>
                  <w:color w:val="000000" w:themeColor="text1"/>
                  <w:szCs w:val="22"/>
                </w:rPr>
                <w:t>Section 298.3 of 14 Code of Federal Regulations</w:t>
              </w:r>
            </w:hyperlink>
            <w:r w:rsidRPr="00EF577A">
              <w:rPr>
                <w:color w:val="000000" w:themeColor="text1"/>
                <w:szCs w:val="22"/>
              </w:rPr>
              <w:t xml:space="preserve"> reads as follows:</w:t>
            </w:r>
          </w:p>
          <w:p w14:paraId="15C3FEE7"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“(a) There is hereby established a classification of air carriers, designated ‘air taxi operators’ which engage in the direct air transportation of passengers and/or property and which:</w:t>
            </w:r>
          </w:p>
          <w:p w14:paraId="1B1691A0"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“(1) Do not utilize aircraft having a maximum takeoff weight of more than 12,500 pounds in air transportation.</w:t>
            </w:r>
          </w:p>
          <w:p w14:paraId="4BDD7952"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“(2) Do not hold a certificate of public convenience and necessity or other economic authority issued by the Board.</w:t>
            </w:r>
          </w:p>
          <w:p w14:paraId="0A842299" w14:textId="77777777" w:rsidR="00C75BD3" w:rsidRPr="00EF577A" w:rsidRDefault="00C75BD3" w:rsidP="00A23611">
            <w:pPr>
              <w:widowControl w:val="0"/>
              <w:autoSpaceDE w:val="0"/>
              <w:autoSpaceDN w:val="0"/>
              <w:adjustRightInd w:val="0"/>
              <w:jc w:val="both"/>
              <w:rPr>
                <w:color w:val="000000" w:themeColor="text1"/>
                <w:szCs w:val="22"/>
              </w:rPr>
            </w:pPr>
            <w:r w:rsidRPr="00EF577A">
              <w:rPr>
                <w:color w:val="000000" w:themeColor="text1"/>
                <w:szCs w:val="22"/>
              </w:rPr>
              <w:t>“(b) A person who does not observe the conditions set forth in paragraph (a) of this section shall not be an air taxi operator within the meaning of this part with respect to any operations conducted by him while such conditions are not being observed, and during such periods is not entitled to any part of the exemptions set forth in this part.”</w:t>
            </w:r>
          </w:p>
          <w:p w14:paraId="0A2FF8F7" w14:textId="77777777" w:rsidR="00C75BD3" w:rsidRPr="00EF577A" w:rsidRDefault="00C75BD3" w:rsidP="00A23611">
            <w:pPr>
              <w:widowControl w:val="0"/>
              <w:autoSpaceDE w:val="0"/>
              <w:autoSpaceDN w:val="0"/>
              <w:adjustRightInd w:val="0"/>
              <w:jc w:val="both"/>
              <w:rPr>
                <w:color w:val="000000" w:themeColor="text1"/>
                <w:szCs w:val="22"/>
              </w:rPr>
            </w:pPr>
          </w:p>
        </w:tc>
      </w:tr>
    </w:tbl>
    <w:p w14:paraId="4D5829B6" w14:textId="77777777" w:rsidR="00C75BD3" w:rsidRPr="00EF577A" w:rsidRDefault="00C75BD3" w:rsidP="00C75BD3">
      <w:pPr>
        <w:widowControl w:val="0"/>
        <w:autoSpaceDE w:val="0"/>
        <w:autoSpaceDN w:val="0"/>
        <w:adjustRightInd w:val="0"/>
        <w:jc w:val="both"/>
        <w:rPr>
          <w:color w:val="000000" w:themeColor="text1"/>
          <w:szCs w:val="22"/>
          <w:vertAlign w:val="superscript"/>
        </w:rPr>
      </w:pPr>
      <w:r w:rsidRPr="00EF577A">
        <w:rPr>
          <w:color w:val="000000" w:themeColor="text1"/>
          <w:szCs w:val="22"/>
        </w:rPr>
        <w:t xml:space="preserve">Since Turner did not file and publish regular schedules, nor possess a certificate of public convenience and necessity, Turner does not fall under the literal affirmative definition of scheduled air carrier in the policy. Neither does Turner qualify under the exclusionary language in the last sentence of clause 4; it was not a military airline and was not designated by government regulations as an irregular carrier. </w:t>
      </w:r>
      <w:proofErr w:type="gramStart"/>
      <w:r w:rsidRPr="00EF577A">
        <w:rPr>
          <w:color w:val="000000" w:themeColor="text1"/>
          <w:szCs w:val="22"/>
        </w:rPr>
        <w:t>Thus</w:t>
      </w:r>
      <w:proofErr w:type="gramEnd"/>
      <w:r w:rsidRPr="00EF577A">
        <w:rPr>
          <w:color w:val="000000" w:themeColor="text1"/>
          <w:szCs w:val="22"/>
        </w:rPr>
        <w:t xml:space="preserve"> the negative definition of the term in the exclusionary phrase may serve to </w:t>
      </w:r>
      <w:r w:rsidRPr="00EF577A">
        <w:rPr>
          <w:i/>
          <w:iCs/>
          <w:color w:val="000000" w:themeColor="text1"/>
          <w:szCs w:val="22"/>
        </w:rPr>
        <w:t>extend</w:t>
      </w:r>
      <w:r w:rsidRPr="00EF577A">
        <w:rPr>
          <w:color w:val="000000" w:themeColor="text1"/>
          <w:szCs w:val="22"/>
        </w:rPr>
        <w:t xml:space="preserve"> coverage to all types of air transport except the two that were specifically excluded.</w:t>
      </w:r>
    </w:p>
    <w:p w14:paraId="4A45154A"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574EA07B" w14:textId="77777777" w:rsidR="00C75BD3" w:rsidRPr="00EF577A" w:rsidRDefault="00C75BD3" w:rsidP="00C75BD3">
      <w:pPr>
        <w:widowControl w:val="0"/>
        <w:autoSpaceDE w:val="0"/>
        <w:autoSpaceDN w:val="0"/>
        <w:adjustRightInd w:val="0"/>
        <w:jc w:val="both"/>
        <w:rPr>
          <w:color w:val="000000" w:themeColor="text1"/>
          <w:szCs w:val="22"/>
          <w:vertAlign w:val="superscript"/>
        </w:rPr>
      </w:pPr>
      <w:r w:rsidRPr="00EF577A">
        <w:rPr>
          <w:color w:val="000000" w:themeColor="text1"/>
          <w:szCs w:val="22"/>
        </w:rPr>
        <w:t xml:space="preserve">In summary, the air-taxi carrier constitutes a third category of aircraft under the federal regulations; the air-taxi is neither a scheduled carrier nor a nonscheduled carrier. So regarded, air-taxi carriers are neither included in, nor excluded from, the coverage of the policy; clause 4 creates an ambiguity. “The burden in such a case as this is on the defendant to establish that the words and expressions used not only are susceptible of the construction sought by defendant but that it is the </w:t>
      </w:r>
      <w:r w:rsidRPr="00EF577A">
        <w:rPr>
          <w:i/>
          <w:iCs/>
          <w:color w:val="000000" w:themeColor="text1"/>
          <w:szCs w:val="22"/>
        </w:rPr>
        <w:t>only</w:t>
      </w:r>
      <w:r w:rsidRPr="00EF577A">
        <w:rPr>
          <w:color w:val="000000" w:themeColor="text1"/>
          <w:szCs w:val="22"/>
        </w:rPr>
        <w:t xml:space="preserve"> construction which may fairly be placed on them.” (</w:t>
      </w:r>
      <w:hyperlink r:id="rId86" w:anchor="co_pp_sp_578_555" w:history="1">
        <w:r w:rsidRPr="00EF577A">
          <w:rPr>
            <w:i/>
            <w:iCs/>
            <w:color w:val="000000" w:themeColor="text1"/>
            <w:szCs w:val="22"/>
          </w:rPr>
          <w:t>Lachs v. Fidelity &amp; Cas. Co., supra,</w:t>
        </w:r>
        <w:r w:rsidRPr="00EF577A">
          <w:rPr>
            <w:color w:val="000000" w:themeColor="text1"/>
            <w:szCs w:val="22"/>
          </w:rPr>
          <w:t xml:space="preserve"> 118 N.E.2d at p. 555;</w:t>
        </w:r>
      </w:hyperlink>
      <w:r w:rsidRPr="00EF577A">
        <w:rPr>
          <w:color w:val="000000" w:themeColor="text1"/>
          <w:szCs w:val="22"/>
        </w:rPr>
        <w:t xml:space="preserve"> emphasis added.) This burden has not been met.</w:t>
      </w:r>
    </w:p>
    <w:p w14:paraId="7E6F7E66"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1651089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Nor does the claim of the beneficiary here founder upon the provisions of the policy which require an exchange of tickets. The insurer argues that Mr. Steven lost the protection of the </w:t>
      </w:r>
      <w:r w:rsidRPr="00EF577A">
        <w:rPr>
          <w:color w:val="000000" w:themeColor="text1"/>
          <w:szCs w:val="22"/>
        </w:rPr>
        <w:lastRenderedPageBreak/>
        <w:t>policy because he purchased a ticket from Turner and travelled under that ticket at the time of the crash. Respondent posits this position upon two policy provisions: (1) the requirement in the last three lines of the insuring clause “that at the time that the Insured sustains such injury he is traveling on a transportation ticket or pass covering the whole of said airline trip issued to him for transportation on an aircraft operated by a scheduled air carrier”; (2) the requirement in clause 2 that on substituted flights “the transportation ticket or pass issued to the Insured for said first airline trip has been exchanged for another ticket or pass issued for transportation on an aircraft operated by a scheduled air carrier on the substituted trip.”</w:t>
      </w:r>
    </w:p>
    <w:p w14:paraId="3DC3544F"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986312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We doubt the applicability and effectiveness of these requirements. Neither refers to substitute transportation taken because of the cancellation of a scheduled flight. Clause 2 applies to “a change in itinerary.” No change in itinerary occurred here; Mr. Steven took the substitute flight to complete the itinerary. The policy limitation, reasonably interpreted, refers to the situation in which a passenger freely chooses to change his original itinerary, not to the contingency in which he seeks to follow it, and in order to do so obtains alternate transportation because of flight cancellation.</w:t>
      </w:r>
    </w:p>
    <w:p w14:paraId="7C19099F"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67931225"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Both clauses were considered in the cases of </w:t>
      </w:r>
      <w:hyperlink r:id="rId87" w:history="1">
        <w:r w:rsidRPr="00EF577A">
          <w:rPr>
            <w:i/>
            <w:iCs/>
            <w:color w:val="000000" w:themeColor="text1"/>
            <w:szCs w:val="22"/>
          </w:rPr>
          <w:t>Fidelity &amp; Cas. Co. of New York v. Smith</w:t>
        </w:r>
        <w:r w:rsidRPr="00EF577A">
          <w:rPr>
            <w:color w:val="000000" w:themeColor="text1"/>
            <w:szCs w:val="22"/>
          </w:rPr>
          <w:t xml:space="preserve"> (10th Cir. 1951) 189 F.2d 315 [25 A.L.R.2d 1025],</w:t>
        </w:r>
      </w:hyperlink>
      <w:r w:rsidRPr="00EF577A">
        <w:rPr>
          <w:color w:val="000000" w:themeColor="text1"/>
          <w:szCs w:val="22"/>
        </w:rPr>
        <w:t xml:space="preserve"> and </w:t>
      </w:r>
      <w:hyperlink r:id="rId88" w:history="1">
        <w:r w:rsidRPr="00EF577A">
          <w:rPr>
            <w:i/>
            <w:iCs/>
            <w:color w:val="000000" w:themeColor="text1"/>
            <w:szCs w:val="22"/>
          </w:rPr>
          <w:t>Rosen v. Fidelity &amp; Cas. Co. of New York</w:t>
        </w:r>
        <w:r w:rsidRPr="00EF577A">
          <w:rPr>
            <w:color w:val="000000" w:themeColor="text1"/>
            <w:szCs w:val="22"/>
          </w:rPr>
          <w:t xml:space="preserve"> (E.D. Pa. 1958) 162 </w:t>
        </w:r>
        <w:proofErr w:type="spellStart"/>
        <w:r w:rsidRPr="00EF577A">
          <w:rPr>
            <w:color w:val="000000" w:themeColor="text1"/>
            <w:szCs w:val="22"/>
          </w:rPr>
          <w:t>F.Supp</w:t>
        </w:r>
        <w:proofErr w:type="spellEnd"/>
        <w:r w:rsidRPr="00EF577A">
          <w:rPr>
            <w:color w:val="000000" w:themeColor="text1"/>
            <w:szCs w:val="22"/>
          </w:rPr>
          <w:t>. 211.</w:t>
        </w:r>
      </w:hyperlink>
      <w:r w:rsidRPr="00EF577A">
        <w:rPr>
          <w:color w:val="000000" w:themeColor="text1"/>
          <w:szCs w:val="22"/>
        </w:rPr>
        <w:t xml:space="preserve"> In these cases the courts noted that airlines did not customarily accept unused tickets on other lines or issue substitute tickets covering the whole of the trip. Indeed, in </w:t>
      </w:r>
      <w:r w:rsidRPr="00EF577A">
        <w:rPr>
          <w:i/>
          <w:iCs/>
          <w:color w:val="000000" w:themeColor="text1"/>
          <w:szCs w:val="22"/>
        </w:rPr>
        <w:t>Smith</w:t>
      </w:r>
      <w:r w:rsidRPr="00EF577A">
        <w:rPr>
          <w:color w:val="000000" w:themeColor="text1"/>
          <w:szCs w:val="22"/>
        </w:rPr>
        <w:t xml:space="preserve"> the court found that it was impossible to exchange tickets. Both courts further noted that the risk would not be affected in the slightest degree by whether or not the passenger exchanged his ticket, cancelled it and used the proceeds to buy substituted transportation, or merely bought the substituted transportation with the expectation of obtaining a later refund. Both courts concluded that the provisions in question would not bar recovery.</w:t>
      </w:r>
    </w:p>
    <w:p w14:paraId="102BF92D"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0202DDC3"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Respondent argues that </w:t>
      </w:r>
      <w:r w:rsidRPr="00EF577A">
        <w:rPr>
          <w:i/>
          <w:iCs/>
          <w:color w:val="000000" w:themeColor="text1"/>
          <w:szCs w:val="22"/>
        </w:rPr>
        <w:t>Smith</w:t>
      </w:r>
      <w:r w:rsidRPr="00EF577A">
        <w:rPr>
          <w:color w:val="000000" w:themeColor="text1"/>
          <w:szCs w:val="22"/>
        </w:rPr>
        <w:t xml:space="preserve"> and </w:t>
      </w:r>
      <w:r w:rsidRPr="00EF577A">
        <w:rPr>
          <w:i/>
          <w:iCs/>
          <w:color w:val="000000" w:themeColor="text1"/>
          <w:szCs w:val="22"/>
        </w:rPr>
        <w:t>Rosen</w:t>
      </w:r>
      <w:r w:rsidRPr="00EF577A">
        <w:rPr>
          <w:color w:val="000000" w:themeColor="text1"/>
          <w:szCs w:val="22"/>
        </w:rPr>
        <w:t xml:space="preserve"> are distinguishable in that there the substituted flights were on scheduled carriers. But the rationale of those cases rests upon the fact that compliance with the ticket exchange requirement is difficult or impossible, and that compliance does not materially affect the insurer’s risk. Compliance is no easier with a nonscheduled than a scheduled airline, and even if, as respondent contends, nonscheduled airlines entail a greater risk, surely that risk is not increased by the failure of the passenger to exchange his ticket. Whatever reason there may be to deny liability for injuries occurring on flights of nonscheduled carriers, it can bear no reasonable relation to the enforcement of a ticket exchange requirement for nonscheduled lines and not for scheduled lines.</w:t>
      </w:r>
    </w:p>
    <w:p w14:paraId="43022DF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45AA82C6"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Whether or not a passenger has exchanged his ticket does not remotely increase the risk borne by the company; furthermore, the exchange of tickets is unusual and at times impossible. Hence the enforcement of the requirement would convert a clause which seemingly extends coverage of the policy for substituted flights into one which denies coverage except in highly unusual situations. Since in the present case appellant asserts, and respondent does not deny, that compliance with the ticket exchange requirement would have been impossible, we conclude that this requirement in the circumstances of this case cannot fairly be enforced against appellant. </w:t>
      </w:r>
    </w:p>
    <w:p w14:paraId="3967C43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lastRenderedPageBreak/>
        <w:t> </w:t>
      </w:r>
    </w:p>
    <w:p w14:paraId="5CDE529B"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If the classic rules of interpretation lead to the conclusion that the policy afforded coverage here, we must point out additionally that they apply with special force in the circumstances of this case. We do not deal here with the orthodox insurance policy sold in the protective aura of the insurer’s explanation and discussion of its terms. The vending machine emitted a complex stereotyped document, which, because of the short time elapsing before the start of Mr. Steven’s flight, hardly afforded him an opportunity even to read the policy. The mass-made contract, sold by the machine under such conditions, symbolizes the kind of transaction that lends to the accepted rules a special gloss of interpretation. As we shall explain in more detail, the cases have held that in such contracts the expected coverage of the policy can only be defeated by a provision for limitation which has been plainly brought to the attention of the insured.</w:t>
      </w:r>
    </w:p>
    <w:p w14:paraId="5813F719"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10FB5E6A"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Nothing in the instant contract or transaction apprised the insured that the protection of the policy would not extend to the substituted emergency flight. The manner of sale of the policy negated any possibility of such notice. The inanimate machine told the purchaser nothing, and even if he had wanted to ask about the coverage in the event of emergency, the box could not have answered. While the testimony leaves us in some doubt as to whether Mr. Steven saw the words in the window of the machine stating “Nor for travel on other than Scheduled Air Carriers,” we know that if he did see them, he could neither have read the definition of “scheduled air carrier” nor the clause concerning substitute emergency transportation on “land conveyances.” These clauses lay hidden behind the mechanized face of the vendor. Even after Mr. Steven purchased the </w:t>
      </w:r>
      <w:proofErr w:type="gramStart"/>
      <w:r w:rsidRPr="00EF577A">
        <w:rPr>
          <w:color w:val="000000" w:themeColor="text1"/>
          <w:szCs w:val="22"/>
        </w:rPr>
        <w:t>policy</w:t>
      </w:r>
      <w:proofErr w:type="gramEnd"/>
      <w:r w:rsidRPr="00EF577A">
        <w:rPr>
          <w:color w:val="000000" w:themeColor="text1"/>
          <w:szCs w:val="22"/>
        </w:rPr>
        <w:t xml:space="preserve"> he would only have found such clauses among the many complexities of the instrument. They were inconspicuous clauses, and, as we have stated, they were unclear.</w:t>
      </w:r>
    </w:p>
    <w:p w14:paraId="1661C44E"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3FB495DD"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To assume that Mr. Steven read the provisions, or conceivably understood them, is to rest upon hypothesis rather than fact. The insurer </w:t>
      </w:r>
      <w:r w:rsidRPr="00EF577A">
        <w:rPr>
          <w:i/>
          <w:iCs/>
          <w:color w:val="000000" w:themeColor="text1"/>
          <w:szCs w:val="22"/>
        </w:rPr>
        <w:t>instructed</w:t>
      </w:r>
      <w:r w:rsidRPr="00EF577A">
        <w:rPr>
          <w:color w:val="000000" w:themeColor="text1"/>
          <w:szCs w:val="22"/>
        </w:rPr>
        <w:t xml:space="preserve"> the purchaser to mail the policy to the beneficiary and provided envelopes for this purpose. Like most purchasers, Mr. Steven, before boarding the plane at the very commencement of the trip, did mail the policy to the beneficiary. The company provided no duplicate. Thus, when Mr. Steven found it necessary at Terre Haute to take the Turner </w:t>
      </w:r>
      <w:proofErr w:type="gramStart"/>
      <w:r w:rsidRPr="00EF577A">
        <w:rPr>
          <w:color w:val="000000" w:themeColor="text1"/>
          <w:szCs w:val="22"/>
        </w:rPr>
        <w:t>flight</w:t>
      </w:r>
      <w:proofErr w:type="gramEnd"/>
      <w:r w:rsidRPr="00EF577A">
        <w:rPr>
          <w:color w:val="000000" w:themeColor="text1"/>
          <w:szCs w:val="22"/>
        </w:rPr>
        <w:t xml:space="preserve"> he could not have consulted the policy to determine its applicability. Instead, even assuming that three days earlier he had read it carefully, he would have been compelled to rely upon his memory. The policy is about 2,000 words long. It is so tightly drawn that if Mr. Steven had forgotten a single word in clause 3(b) or a short phrase in clause </w:t>
      </w:r>
      <w:proofErr w:type="gramStart"/>
      <w:r w:rsidRPr="00EF577A">
        <w:rPr>
          <w:color w:val="000000" w:themeColor="text1"/>
          <w:szCs w:val="22"/>
        </w:rPr>
        <w:t>4</w:t>
      </w:r>
      <w:proofErr w:type="gramEnd"/>
      <w:r w:rsidRPr="00EF577A">
        <w:rPr>
          <w:color w:val="000000" w:themeColor="text1"/>
          <w:szCs w:val="22"/>
        </w:rPr>
        <w:t xml:space="preserve"> he might well have concluded that the policy covered the Turner trip.</w:t>
      </w:r>
    </w:p>
    <w:p w14:paraId="0DE61B9A"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4FBD8E07"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xml:space="preserve">Even upon the highly unrealistic assumption that Mr. Steven surmounted all of these obstacles, the policy still would not have notified him that he was not covered. The policy, in defining scheduled airlines, refers to an airline possessing certificates of public convenience and necessity and filing schedules. Later it attempts to exclude lines designated in government regulations as irregular or nonscheduled. These facts, important in determining whether the Turner flight </w:t>
      </w:r>
      <w:proofErr w:type="gramStart"/>
      <w:r w:rsidRPr="00EF577A">
        <w:rPr>
          <w:color w:val="000000" w:themeColor="text1"/>
          <w:szCs w:val="22"/>
        </w:rPr>
        <w:t>were</w:t>
      </w:r>
      <w:proofErr w:type="gramEnd"/>
      <w:r w:rsidRPr="00EF577A">
        <w:rPr>
          <w:color w:val="000000" w:themeColor="text1"/>
          <w:szCs w:val="22"/>
        </w:rPr>
        <w:t xml:space="preserve"> covered, obviously do not compose the facts a passenger typically knows. “[T]he average man ... is [not] expected to carry the Civil Aeronautics Act or the Code of Federal Regulations when taking a plane.” (</w:t>
      </w:r>
      <w:hyperlink r:id="rId89" w:anchor="co_pp_sp_578_558" w:history="1">
        <w:r w:rsidRPr="00EF577A">
          <w:rPr>
            <w:i/>
            <w:iCs/>
            <w:color w:val="000000" w:themeColor="text1"/>
            <w:szCs w:val="22"/>
          </w:rPr>
          <w:t>Lachs v. Fidelity &amp; Cas. Co., supra,</w:t>
        </w:r>
        <w:r w:rsidRPr="00EF577A">
          <w:rPr>
            <w:color w:val="000000" w:themeColor="text1"/>
            <w:szCs w:val="22"/>
          </w:rPr>
          <w:t xml:space="preserve"> 118 N.E.2d at p. 558.)</w:t>
        </w:r>
      </w:hyperlink>
      <w:r w:rsidRPr="00EF577A">
        <w:rPr>
          <w:color w:val="000000" w:themeColor="text1"/>
          <w:szCs w:val="22"/>
        </w:rPr>
        <w:t xml:space="preserve"> Neither can he generally be expected to inquire into the nature of the certification of the airline.</w:t>
      </w:r>
    </w:p>
    <w:p w14:paraId="35FE8D64"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lastRenderedPageBreak/>
        <w:t> </w:t>
      </w:r>
    </w:p>
    <w:p w14:paraId="01830FEC"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company so arranged this transaction that Mr. Steven could not possibly read the policy before purchase and could not practically consult the policy after purchase. The language of the policy in itself was insufficient to afford the necessary notice of noncoverage. The facts of the case foreclose any contention of the company that it afforded Mr. Steven plain warning of noncoverage of the Turner flight. While the insurer has every right to sell insurance policies by methods of mechanization, and present-day economic conditions may well justify such distribution, the insurer cannot then rely upon esoteric provisions to limit coverage. If it deals with the public upon a mass basis, the notice of noncoverage of the policy, in a situation in which the public may reasonably expect coverage, must be conspicuous, plain and clear.</w:t>
      </w:r>
    </w:p>
    <w:p w14:paraId="1C067501"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3EC3578B"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 .</w:t>
      </w:r>
    </w:p>
    <w:p w14:paraId="67024CF8"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 </w:t>
      </w:r>
    </w:p>
    <w:p w14:paraId="5E4FA39A" w14:textId="77777777" w:rsidR="00C75BD3" w:rsidRPr="00EF577A" w:rsidRDefault="00C75BD3" w:rsidP="00C75BD3">
      <w:pPr>
        <w:widowControl w:val="0"/>
        <w:autoSpaceDE w:val="0"/>
        <w:autoSpaceDN w:val="0"/>
        <w:adjustRightInd w:val="0"/>
        <w:jc w:val="both"/>
        <w:rPr>
          <w:color w:val="000000" w:themeColor="text1"/>
          <w:szCs w:val="22"/>
        </w:rPr>
      </w:pPr>
      <w:r w:rsidRPr="00EF577A">
        <w:rPr>
          <w:color w:val="000000" w:themeColor="text1"/>
          <w:szCs w:val="22"/>
        </w:rPr>
        <w:t>The judgment is reversed, and the cause is remanded to the trial court with directions to enter judgment for the plaintiff.</w:t>
      </w:r>
    </w:p>
    <w:p w14:paraId="53302277" w14:textId="77777777" w:rsidR="00C75BD3" w:rsidRDefault="00C75BD3" w:rsidP="00C75BD3">
      <w:pPr>
        <w:rPr>
          <w:szCs w:val="22"/>
        </w:rPr>
      </w:pPr>
    </w:p>
    <w:p w14:paraId="3D1931EF" w14:textId="77777777" w:rsidR="00C75BD3" w:rsidRDefault="00C75BD3" w:rsidP="00C75BD3">
      <w:pPr>
        <w:rPr>
          <w:szCs w:val="22"/>
        </w:rPr>
      </w:pPr>
    </w:p>
    <w:p w14:paraId="51B4558B" w14:textId="77777777" w:rsidR="00C75BD3" w:rsidRPr="00EF577A" w:rsidRDefault="00C75BD3" w:rsidP="00C75BD3">
      <w:pPr>
        <w:rPr>
          <w:color w:val="000000"/>
          <w:szCs w:val="22"/>
        </w:rPr>
      </w:pPr>
    </w:p>
    <w:p w14:paraId="1B792B03" w14:textId="5D049EF0" w:rsidR="008B5AE2" w:rsidRPr="00EF577A" w:rsidRDefault="008B5AE2" w:rsidP="008B5AE2">
      <w:pPr>
        <w:ind w:left="101" w:right="101"/>
        <w:jc w:val="center"/>
        <w:outlineLvl w:val="0"/>
        <w:rPr>
          <w:szCs w:val="22"/>
        </w:rPr>
      </w:pPr>
      <w:bookmarkStart w:id="93" w:name="_Toc186019889"/>
      <w:r w:rsidRPr="00EF577A">
        <w:rPr>
          <w:color w:val="252525"/>
          <w:szCs w:val="22"/>
        </w:rPr>
        <w:t>Sifuentes v.</w:t>
      </w:r>
      <w:r w:rsidRPr="00EF577A">
        <w:rPr>
          <w:szCs w:val="22"/>
        </w:rPr>
        <w:t xml:space="preserve"> </w:t>
      </w:r>
      <w:r w:rsidRPr="00EF577A">
        <w:rPr>
          <w:color w:val="0E568C"/>
          <w:szCs w:val="22"/>
        </w:rPr>
        <w:t>Dropbox</w:t>
      </w:r>
      <w:bookmarkEnd w:id="93"/>
    </w:p>
    <w:p w14:paraId="1273D860" w14:textId="77777777" w:rsidR="008B5AE2" w:rsidRPr="00EF577A" w:rsidRDefault="008B5AE2" w:rsidP="008B5AE2">
      <w:pPr>
        <w:jc w:val="center"/>
        <w:rPr>
          <w:b/>
          <w:bCs/>
          <w:color w:val="000000"/>
          <w:szCs w:val="22"/>
        </w:rPr>
      </w:pPr>
    </w:p>
    <w:p w14:paraId="01409CE4" w14:textId="77777777" w:rsidR="008B5AE2" w:rsidRPr="00EF577A" w:rsidRDefault="008B5AE2" w:rsidP="008B5AE2">
      <w:pPr>
        <w:jc w:val="center"/>
        <w:rPr>
          <w:szCs w:val="22"/>
        </w:rPr>
      </w:pPr>
      <w:r w:rsidRPr="00EF577A">
        <w:rPr>
          <w:color w:val="000000"/>
          <w:szCs w:val="22"/>
        </w:rPr>
        <w:t>2022 WL 2673080</w:t>
      </w:r>
    </w:p>
    <w:p w14:paraId="26CF8B48" w14:textId="77777777" w:rsidR="008B5AE2" w:rsidRPr="00EF577A" w:rsidRDefault="008B5AE2" w:rsidP="008B5AE2">
      <w:pPr>
        <w:pBdr>
          <w:left w:val="none" w:sz="0" w:space="8" w:color="auto"/>
        </w:pBdr>
        <w:rPr>
          <w:szCs w:val="22"/>
        </w:rPr>
      </w:pPr>
    </w:p>
    <w:p w14:paraId="031F0255" w14:textId="77777777" w:rsidR="008B5AE2" w:rsidRPr="00EF577A" w:rsidRDefault="008B5AE2" w:rsidP="008B5AE2">
      <w:pPr>
        <w:jc w:val="center"/>
        <w:rPr>
          <w:b/>
          <w:color w:val="000000"/>
          <w:szCs w:val="22"/>
        </w:rPr>
      </w:pPr>
      <w:bookmarkStart w:id="94" w:name="co_anchor_I0037cdd1042d11ed9d91b66de2"/>
      <w:bookmarkStart w:id="95" w:name="co_anchor_I0037cdd1042d11ed9d91b66de71f"/>
      <w:bookmarkStart w:id="96" w:name="co_anchor_I002f9078042d11ed9d91b66de71f"/>
      <w:r w:rsidRPr="00EF577A">
        <w:rPr>
          <w:b/>
          <w:color w:val="000000"/>
          <w:szCs w:val="22"/>
        </w:rPr>
        <w:t>ORDER DENYING MOTION TO COMPEL ARBITRATION</w:t>
      </w:r>
    </w:p>
    <w:p w14:paraId="57A92632" w14:textId="77777777" w:rsidR="008B5AE2" w:rsidRPr="00EF577A" w:rsidRDefault="008B5AE2" w:rsidP="008B5AE2">
      <w:pPr>
        <w:jc w:val="center"/>
        <w:rPr>
          <w:szCs w:val="22"/>
        </w:rPr>
      </w:pPr>
    </w:p>
    <w:bookmarkEnd w:id="94"/>
    <w:bookmarkEnd w:id="95"/>
    <w:bookmarkEnd w:id="96"/>
    <w:p w14:paraId="0F2B2DEA" w14:textId="77777777" w:rsidR="008B5AE2" w:rsidRPr="00EF577A" w:rsidRDefault="008B5AE2" w:rsidP="008B5AE2">
      <w:pPr>
        <w:jc w:val="center"/>
        <w:rPr>
          <w:color w:val="000000"/>
          <w:szCs w:val="22"/>
        </w:rPr>
      </w:pPr>
      <w:r w:rsidRPr="00EF577A">
        <w:rPr>
          <w:color w:val="000000"/>
          <w:szCs w:val="22"/>
        </w:rPr>
        <w:t xml:space="preserve">Re: </w:t>
      </w:r>
      <w:proofErr w:type="spellStart"/>
      <w:r w:rsidRPr="00EF577A">
        <w:rPr>
          <w:color w:val="000000"/>
          <w:szCs w:val="22"/>
        </w:rPr>
        <w:t>Dkt</w:t>
      </w:r>
      <w:proofErr w:type="spellEnd"/>
      <w:r w:rsidRPr="00EF577A">
        <w:rPr>
          <w:color w:val="000000"/>
          <w:szCs w:val="22"/>
        </w:rPr>
        <w:t>. No. 40</w:t>
      </w:r>
    </w:p>
    <w:p w14:paraId="068D1F5C" w14:textId="77777777" w:rsidR="008B5AE2" w:rsidRPr="00EF577A" w:rsidRDefault="008B5AE2" w:rsidP="008B5AE2">
      <w:pPr>
        <w:jc w:val="center"/>
        <w:rPr>
          <w:szCs w:val="22"/>
        </w:rPr>
      </w:pPr>
    </w:p>
    <w:p w14:paraId="6EF8CC7C" w14:textId="77777777" w:rsidR="008B5AE2" w:rsidRPr="00EF577A" w:rsidRDefault="008B5AE2" w:rsidP="008B5AE2">
      <w:pPr>
        <w:jc w:val="both"/>
        <w:rPr>
          <w:szCs w:val="22"/>
        </w:rPr>
      </w:pPr>
      <w:r w:rsidRPr="00EF577A">
        <w:rPr>
          <w:color w:val="0E568C"/>
          <w:szCs w:val="22"/>
        </w:rPr>
        <w:t>HAYWOOD S. GILLIAM, JR.</w:t>
      </w:r>
      <w:r w:rsidRPr="00EF577A">
        <w:rPr>
          <w:color w:val="000000"/>
          <w:szCs w:val="22"/>
        </w:rPr>
        <w:t>, United States District Judge</w:t>
      </w:r>
    </w:p>
    <w:p w14:paraId="59C99680" w14:textId="77777777" w:rsidR="008B5AE2" w:rsidRPr="00EF577A" w:rsidRDefault="008B5AE2" w:rsidP="008B5AE2">
      <w:pPr>
        <w:jc w:val="both"/>
        <w:rPr>
          <w:color w:val="000000"/>
          <w:szCs w:val="22"/>
        </w:rPr>
      </w:pPr>
    </w:p>
    <w:p w14:paraId="259F843E" w14:textId="77777777" w:rsidR="008B5AE2" w:rsidRPr="00EF577A" w:rsidRDefault="008B5AE2" w:rsidP="008B5AE2">
      <w:pPr>
        <w:jc w:val="both"/>
        <w:rPr>
          <w:color w:val="000000"/>
          <w:szCs w:val="22"/>
        </w:rPr>
      </w:pPr>
      <w:r w:rsidRPr="00EF577A">
        <w:rPr>
          <w:color w:val="000000"/>
          <w:szCs w:val="22"/>
        </w:rPr>
        <w:t xml:space="preserve">Pending before the Court is Defendant Dropbox, Inc.’s motion to compel arbitration, briefing for which is complete. </w:t>
      </w:r>
      <w:r w:rsidRPr="00EF577A">
        <w:rPr>
          <w:i/>
          <w:color w:val="000000"/>
          <w:szCs w:val="22"/>
        </w:rPr>
        <w:t>See</w:t>
      </w:r>
      <w:r w:rsidRPr="00EF577A">
        <w:rPr>
          <w:color w:val="000000"/>
          <w:szCs w:val="22"/>
        </w:rPr>
        <w:t xml:space="preserve"> </w:t>
      </w:r>
      <w:proofErr w:type="spellStart"/>
      <w:r w:rsidRPr="00EF577A">
        <w:rPr>
          <w:color w:val="000000"/>
          <w:szCs w:val="22"/>
        </w:rPr>
        <w:t>Dkt</w:t>
      </w:r>
      <w:proofErr w:type="spellEnd"/>
      <w:r w:rsidRPr="00EF577A">
        <w:rPr>
          <w:color w:val="000000"/>
          <w:szCs w:val="22"/>
        </w:rPr>
        <w:t>. Nos. 40 (“Mot.”), 42 (“Opp.”), 47 (“Reply”).</w:t>
      </w:r>
      <w:bookmarkStart w:id="97" w:name="co_fnRef_B00012056575165_ID0EWAAC_1"/>
      <w:r w:rsidRPr="00EF577A">
        <w:rPr>
          <w:szCs w:val="22"/>
        </w:rPr>
        <w:fldChar w:fldCharType="begin"/>
      </w:r>
      <w:r w:rsidRPr="00EF577A">
        <w:rPr>
          <w:szCs w:val="22"/>
        </w:rPr>
        <w:instrText xml:space="preserve"> HYPERLINK \l "co_footnote_B00012056575165_1" \h </w:instrText>
      </w:r>
      <w:r w:rsidRPr="00EF577A">
        <w:rPr>
          <w:szCs w:val="22"/>
        </w:rPr>
      </w:r>
      <w:r w:rsidRPr="00EF577A">
        <w:rPr>
          <w:szCs w:val="22"/>
        </w:rPr>
        <w:fldChar w:fldCharType="separate"/>
      </w:r>
      <w:r w:rsidRPr="00EF577A">
        <w:rPr>
          <w:color w:val="0E568C"/>
          <w:szCs w:val="22"/>
          <w:vertAlign w:val="superscript"/>
        </w:rPr>
        <w:t>1</w:t>
      </w:r>
      <w:r w:rsidRPr="00EF577A">
        <w:rPr>
          <w:color w:val="0E568C"/>
          <w:szCs w:val="22"/>
          <w:vertAlign w:val="superscript"/>
        </w:rPr>
        <w:fldChar w:fldCharType="end"/>
      </w:r>
      <w:bookmarkEnd w:id="97"/>
      <w:r w:rsidRPr="00EF577A">
        <w:rPr>
          <w:color w:val="000000"/>
          <w:szCs w:val="22"/>
        </w:rPr>
        <w:t xml:space="preserve"> The Court heard oral argument on the motion on January 20, 2022. </w:t>
      </w:r>
      <w:r w:rsidRPr="00EF577A">
        <w:rPr>
          <w:i/>
          <w:color w:val="000000"/>
          <w:szCs w:val="22"/>
        </w:rPr>
        <w:t>See</w:t>
      </w:r>
      <w:r w:rsidRPr="00EF577A">
        <w:rPr>
          <w:color w:val="000000"/>
          <w:szCs w:val="22"/>
        </w:rPr>
        <w:t xml:space="preserve"> </w:t>
      </w:r>
      <w:proofErr w:type="spellStart"/>
      <w:r w:rsidRPr="00EF577A">
        <w:rPr>
          <w:color w:val="000000"/>
          <w:szCs w:val="22"/>
        </w:rPr>
        <w:t>Dkt</w:t>
      </w:r>
      <w:proofErr w:type="spellEnd"/>
      <w:r w:rsidRPr="00EF577A">
        <w:rPr>
          <w:color w:val="000000"/>
          <w:szCs w:val="22"/>
        </w:rPr>
        <w:t xml:space="preserve">. No. 54. For the reasons detailed below, the Court </w:t>
      </w:r>
      <w:r w:rsidRPr="00EF577A">
        <w:rPr>
          <w:b/>
          <w:color w:val="000000"/>
          <w:szCs w:val="22"/>
        </w:rPr>
        <w:t>DENIES</w:t>
      </w:r>
      <w:r w:rsidRPr="00EF577A">
        <w:rPr>
          <w:color w:val="000000"/>
          <w:szCs w:val="22"/>
        </w:rPr>
        <w:t xml:space="preserve"> the motion.</w:t>
      </w:r>
    </w:p>
    <w:p w14:paraId="73A10CE5" w14:textId="77777777" w:rsidR="008B5AE2" w:rsidRPr="00EF577A" w:rsidRDefault="008B5AE2" w:rsidP="008B5AE2">
      <w:pPr>
        <w:jc w:val="both"/>
        <w:rPr>
          <w:szCs w:val="22"/>
        </w:rPr>
      </w:pPr>
      <w:r w:rsidRPr="00EF577A">
        <w:rPr>
          <w:color w:val="000000"/>
          <w:szCs w:val="22"/>
        </w:rPr>
        <w:t> </w:t>
      </w:r>
    </w:p>
    <w:p w14:paraId="0478AD3F" w14:textId="77777777" w:rsidR="008B5AE2" w:rsidRPr="00EF577A" w:rsidRDefault="008B5AE2" w:rsidP="008B5AE2">
      <w:pPr>
        <w:rPr>
          <w:szCs w:val="22"/>
        </w:rPr>
      </w:pPr>
      <w:bookmarkStart w:id="98" w:name="co_anchor_I00390651042d11ed9d91b66de2"/>
      <w:bookmarkStart w:id="99" w:name="co_anchor_I00390651042d11ed9d91b66de71f"/>
      <w:r w:rsidRPr="00EF577A">
        <w:rPr>
          <w:b/>
          <w:color w:val="000000"/>
          <w:szCs w:val="22"/>
        </w:rPr>
        <w:t>I. BACKGROUND</w:t>
      </w:r>
    </w:p>
    <w:bookmarkEnd w:id="98"/>
    <w:bookmarkEnd w:id="99"/>
    <w:p w14:paraId="249B0DB3" w14:textId="77777777" w:rsidR="008B5AE2" w:rsidRPr="00EF577A" w:rsidRDefault="008B5AE2" w:rsidP="008B5AE2">
      <w:pPr>
        <w:jc w:val="both"/>
        <w:rPr>
          <w:color w:val="000000"/>
          <w:szCs w:val="22"/>
        </w:rPr>
      </w:pPr>
    </w:p>
    <w:p w14:paraId="6B694E43" w14:textId="77777777" w:rsidR="008B5AE2" w:rsidRPr="00EF577A" w:rsidRDefault="008B5AE2" w:rsidP="008B5AE2">
      <w:pPr>
        <w:jc w:val="both"/>
        <w:rPr>
          <w:szCs w:val="22"/>
        </w:rPr>
      </w:pPr>
      <w:r w:rsidRPr="00EF577A">
        <w:rPr>
          <w:color w:val="000000"/>
          <w:szCs w:val="22"/>
        </w:rPr>
        <w:t xml:space="preserve">Pro Se Plaintiff David Angel Sifuentes III filed this action against Defendant on November 9, 2020. </w:t>
      </w:r>
      <w:proofErr w:type="spellStart"/>
      <w:r w:rsidRPr="00EF577A">
        <w:rPr>
          <w:color w:val="000000"/>
          <w:szCs w:val="22"/>
        </w:rPr>
        <w:t>Dkt</w:t>
      </w:r>
      <w:proofErr w:type="spellEnd"/>
      <w:r w:rsidRPr="00EF577A">
        <w:rPr>
          <w:color w:val="000000"/>
          <w:szCs w:val="22"/>
        </w:rPr>
        <w:t xml:space="preserve">. No. 1. He then filed an amended complaint on January 21, 2021. </w:t>
      </w:r>
      <w:proofErr w:type="spellStart"/>
      <w:r w:rsidRPr="00EF577A">
        <w:rPr>
          <w:color w:val="000000"/>
          <w:szCs w:val="22"/>
        </w:rPr>
        <w:t>Dkt</w:t>
      </w:r>
      <w:proofErr w:type="spellEnd"/>
      <w:r w:rsidRPr="00EF577A">
        <w:rPr>
          <w:color w:val="000000"/>
          <w:szCs w:val="22"/>
        </w:rPr>
        <w:t xml:space="preserve">. No. 10 (“Am. Comp.”). Plaintiff alleges that his Dropbox account was compromised in a 2012 data breach, which put his personal information at risk. </w:t>
      </w:r>
      <w:r w:rsidRPr="00EF577A">
        <w:rPr>
          <w:i/>
          <w:color w:val="000000"/>
          <w:szCs w:val="22"/>
        </w:rPr>
        <w:t>Id.</w:t>
      </w:r>
      <w:r w:rsidRPr="00EF577A">
        <w:rPr>
          <w:color w:val="000000"/>
          <w:szCs w:val="22"/>
        </w:rPr>
        <w:t xml:space="preserve"> at 2. Plaintiff further alleges that Dropbox failed to inform him of the breach, and that his personal information has been stolen and used by “hackers and cyber criminals.” </w:t>
      </w:r>
      <w:r w:rsidRPr="00EF577A">
        <w:rPr>
          <w:i/>
          <w:color w:val="000000"/>
          <w:szCs w:val="22"/>
        </w:rPr>
        <w:t>Id.</w:t>
      </w:r>
      <w:r w:rsidRPr="00EF577A">
        <w:rPr>
          <w:color w:val="000000"/>
          <w:szCs w:val="22"/>
        </w:rPr>
        <w:t xml:space="preserve"> Plaintiff asserts that as a result of the data breach his bank account has been made vulnerable, he has to frequently change his log-in information for various accounts, and he worries that his personal information could be used to commit crimes. </w:t>
      </w:r>
      <w:r w:rsidRPr="00EF577A">
        <w:rPr>
          <w:i/>
          <w:color w:val="000000"/>
          <w:szCs w:val="22"/>
        </w:rPr>
        <w:t>Id.</w:t>
      </w:r>
      <w:r w:rsidRPr="00EF577A">
        <w:rPr>
          <w:color w:val="000000"/>
          <w:szCs w:val="22"/>
        </w:rPr>
        <w:t xml:space="preserve"> at 2-3. On the basis of these facts, Plaintiff brings multiple causes of action, including claims for invasion of privacy by public disclosure of private facts, negligence, intentional infliction of emotional distress, and conversion in addition to </w:t>
      </w:r>
      <w:r w:rsidRPr="00EF577A">
        <w:rPr>
          <w:color w:val="000000"/>
          <w:szCs w:val="22"/>
        </w:rPr>
        <w:lastRenderedPageBreak/>
        <w:t xml:space="preserve">violations of the Fair Credit Reporting Act, Fair and Accurate Credit Transactions Act of 2003, </w:t>
      </w:r>
      <w:hyperlink r:id="rId90">
        <w:r w:rsidRPr="00EF577A">
          <w:rPr>
            <w:color w:val="0E568C"/>
            <w:szCs w:val="22"/>
          </w:rPr>
          <w:t>California Civil Code section 1798.29</w:t>
        </w:r>
      </w:hyperlink>
      <w:r w:rsidRPr="00EF577A">
        <w:rPr>
          <w:color w:val="000000"/>
          <w:szCs w:val="22"/>
        </w:rPr>
        <w:t xml:space="preserve">, and Michigan Law section 445.72. </w:t>
      </w:r>
      <w:r w:rsidRPr="00EF577A">
        <w:rPr>
          <w:i/>
          <w:color w:val="000000"/>
          <w:szCs w:val="22"/>
        </w:rPr>
        <w:t>Id.</w:t>
      </w:r>
      <w:r w:rsidRPr="00EF577A">
        <w:rPr>
          <w:color w:val="000000"/>
          <w:szCs w:val="22"/>
        </w:rPr>
        <w:t xml:space="preserve"> at 1. Plaintiff seeks $550,000 in damages. </w:t>
      </w:r>
      <w:r w:rsidRPr="00EF577A">
        <w:rPr>
          <w:i/>
          <w:color w:val="000000"/>
          <w:szCs w:val="22"/>
        </w:rPr>
        <w:t>Id.</w:t>
      </w:r>
      <w:r w:rsidRPr="00EF577A">
        <w:rPr>
          <w:color w:val="000000"/>
          <w:szCs w:val="22"/>
        </w:rPr>
        <w:t xml:space="preserve"> at 3.</w:t>
      </w:r>
    </w:p>
    <w:p w14:paraId="41EC500F" w14:textId="77777777" w:rsidR="008B5AE2" w:rsidRPr="00EF577A" w:rsidRDefault="008B5AE2" w:rsidP="008B5AE2">
      <w:pPr>
        <w:jc w:val="both"/>
        <w:rPr>
          <w:szCs w:val="22"/>
        </w:rPr>
      </w:pPr>
      <w:r w:rsidRPr="00EF577A">
        <w:rPr>
          <w:color w:val="000000"/>
          <w:szCs w:val="22"/>
        </w:rPr>
        <w:t> </w:t>
      </w:r>
    </w:p>
    <w:p w14:paraId="21C822B2" w14:textId="77777777" w:rsidR="008B5AE2" w:rsidRPr="00EF577A" w:rsidRDefault="008B5AE2" w:rsidP="008B5AE2">
      <w:pPr>
        <w:rPr>
          <w:szCs w:val="22"/>
        </w:rPr>
      </w:pPr>
      <w:r w:rsidRPr="00EF577A">
        <w:rPr>
          <w:b/>
          <w:color w:val="000000"/>
          <w:szCs w:val="22"/>
        </w:rPr>
        <w:t>***</w:t>
      </w:r>
    </w:p>
    <w:p w14:paraId="15E7D8F0" w14:textId="77777777" w:rsidR="008B5AE2" w:rsidRPr="00EF577A" w:rsidRDefault="008B5AE2" w:rsidP="008B5AE2">
      <w:pPr>
        <w:rPr>
          <w:b/>
          <w:color w:val="000000"/>
          <w:szCs w:val="22"/>
        </w:rPr>
      </w:pPr>
      <w:bookmarkStart w:id="100" w:name="co_anchor_I0040ce81042d11ed9d91b66de2"/>
      <w:bookmarkStart w:id="101" w:name="co_anchor_I0040ce81042d11ed9d91b66de71f"/>
    </w:p>
    <w:p w14:paraId="7A7A3398" w14:textId="77777777" w:rsidR="008B5AE2" w:rsidRPr="00EF577A" w:rsidRDefault="008B5AE2" w:rsidP="008B5AE2">
      <w:pPr>
        <w:rPr>
          <w:szCs w:val="22"/>
        </w:rPr>
      </w:pPr>
      <w:r w:rsidRPr="00EF577A">
        <w:rPr>
          <w:b/>
          <w:color w:val="000000"/>
          <w:szCs w:val="22"/>
        </w:rPr>
        <w:t>III. DISCUSSION</w:t>
      </w:r>
    </w:p>
    <w:p w14:paraId="3D1A4834" w14:textId="77777777" w:rsidR="008B5AE2" w:rsidRPr="00EF577A" w:rsidRDefault="008B5AE2" w:rsidP="008B5AE2">
      <w:pPr>
        <w:pBdr>
          <w:left w:val="none" w:sz="0" w:space="10" w:color="auto"/>
        </w:pBdr>
        <w:ind w:left="200"/>
        <w:rPr>
          <w:b/>
          <w:color w:val="000000"/>
          <w:szCs w:val="22"/>
        </w:rPr>
      </w:pPr>
      <w:bookmarkStart w:id="102" w:name="co_anchor_I0040ce81042d11ed9d91b66de3"/>
      <w:bookmarkEnd w:id="100"/>
      <w:bookmarkEnd w:id="101"/>
    </w:p>
    <w:p w14:paraId="3450C1A4" w14:textId="77777777" w:rsidR="008B5AE2" w:rsidRPr="00EF577A" w:rsidRDefault="008B5AE2" w:rsidP="008B5AE2">
      <w:pPr>
        <w:pBdr>
          <w:left w:val="none" w:sz="0" w:space="10" w:color="auto"/>
        </w:pBdr>
        <w:ind w:left="200"/>
        <w:rPr>
          <w:szCs w:val="22"/>
        </w:rPr>
      </w:pPr>
      <w:r w:rsidRPr="00EF577A">
        <w:rPr>
          <w:b/>
          <w:color w:val="000000"/>
          <w:szCs w:val="22"/>
        </w:rPr>
        <w:t>A. Alleged Arbitration Agreement</w:t>
      </w:r>
    </w:p>
    <w:bookmarkEnd w:id="102"/>
    <w:p w14:paraId="192186C0" w14:textId="77777777" w:rsidR="008B5AE2" w:rsidRPr="00EF577A" w:rsidRDefault="008B5AE2" w:rsidP="008B5AE2">
      <w:pPr>
        <w:jc w:val="both"/>
        <w:rPr>
          <w:color w:val="000000"/>
          <w:szCs w:val="22"/>
        </w:rPr>
      </w:pPr>
    </w:p>
    <w:p w14:paraId="363B22E1" w14:textId="77777777" w:rsidR="008B5AE2" w:rsidRPr="00EF577A" w:rsidRDefault="008B5AE2" w:rsidP="008B5AE2">
      <w:pPr>
        <w:jc w:val="both"/>
        <w:rPr>
          <w:szCs w:val="22"/>
        </w:rPr>
      </w:pPr>
      <w:r w:rsidRPr="00EF577A">
        <w:rPr>
          <w:color w:val="000000"/>
          <w:szCs w:val="22"/>
        </w:rPr>
        <w:t xml:space="preserve">Defendant contends that Plaintiff assented to terms of service (“TOS”) that require arbitration. Defendant represents that, according to its records, Plaintiff signed up for Dropbox on December 15, 2011. </w:t>
      </w:r>
      <w:proofErr w:type="spellStart"/>
      <w:r w:rsidRPr="00EF577A">
        <w:rPr>
          <w:color w:val="000000"/>
          <w:szCs w:val="22"/>
        </w:rPr>
        <w:t>Dkt</w:t>
      </w:r>
      <w:proofErr w:type="spellEnd"/>
      <w:r w:rsidRPr="00EF577A">
        <w:rPr>
          <w:color w:val="000000"/>
          <w:szCs w:val="22"/>
        </w:rPr>
        <w:t>. No. 40-1 Decl. of Wendy Weber ¶ 10 (“Weber Decl.”). Defendant explains that when Plaintiff created his Dropbox account, he would have been “required to affirmatively check a box stating ‘I agree to Dropbox Terms of Service’ to affirmatively indicate [his] agreement to the Dropbox TOS and further press a button stating ‘Create account.</w:t>
      </w:r>
      <w:proofErr w:type="gramStart"/>
      <w:r w:rsidRPr="00EF577A">
        <w:rPr>
          <w:color w:val="000000"/>
          <w:szCs w:val="22"/>
        </w:rPr>
        <w:t>’ ”</w:t>
      </w:r>
      <w:proofErr w:type="gramEnd"/>
      <w:r w:rsidRPr="00EF577A">
        <w:rPr>
          <w:color w:val="000000"/>
          <w:szCs w:val="22"/>
        </w:rPr>
        <w:t xml:space="preserve"> </w:t>
      </w:r>
      <w:r w:rsidRPr="00EF577A">
        <w:rPr>
          <w:i/>
          <w:color w:val="000000"/>
          <w:szCs w:val="22"/>
        </w:rPr>
        <w:t>See</w:t>
      </w:r>
      <w:r w:rsidRPr="00EF577A">
        <w:rPr>
          <w:color w:val="000000"/>
          <w:szCs w:val="22"/>
        </w:rPr>
        <w:t xml:space="preserve"> </w:t>
      </w:r>
      <w:r w:rsidRPr="00EF577A">
        <w:rPr>
          <w:i/>
          <w:color w:val="000000"/>
          <w:szCs w:val="22"/>
        </w:rPr>
        <w:t>id.</w:t>
      </w:r>
      <w:r w:rsidRPr="00EF577A">
        <w:rPr>
          <w:color w:val="000000"/>
          <w:szCs w:val="22"/>
        </w:rPr>
        <w:t xml:space="preserve"> ¶ 6. According to Defendant, the “TOS were visibly hyperlinked and set off by blue font color,” and the hyperlink would have taken Plaintiff to the July 6, 2011 TOS. </w:t>
      </w:r>
      <w:r w:rsidRPr="00EF577A">
        <w:rPr>
          <w:i/>
          <w:color w:val="000000"/>
          <w:szCs w:val="22"/>
        </w:rPr>
        <w:t>Id.</w:t>
      </w:r>
      <w:r w:rsidRPr="00EF577A">
        <w:rPr>
          <w:color w:val="000000"/>
          <w:szCs w:val="22"/>
        </w:rPr>
        <w:t xml:space="preserve">; </w:t>
      </w:r>
      <w:r w:rsidRPr="00EF577A">
        <w:rPr>
          <w:i/>
          <w:color w:val="000000"/>
          <w:szCs w:val="22"/>
        </w:rPr>
        <w:t>see</w:t>
      </w:r>
      <w:r w:rsidRPr="00EF577A">
        <w:rPr>
          <w:color w:val="000000"/>
          <w:szCs w:val="22"/>
        </w:rPr>
        <w:t xml:space="preserve"> </w:t>
      </w:r>
      <w:proofErr w:type="spellStart"/>
      <w:r w:rsidRPr="00EF577A">
        <w:rPr>
          <w:color w:val="000000"/>
          <w:szCs w:val="22"/>
        </w:rPr>
        <w:t>Dkt</w:t>
      </w:r>
      <w:proofErr w:type="spellEnd"/>
      <w:r w:rsidRPr="00EF577A">
        <w:rPr>
          <w:color w:val="000000"/>
          <w:szCs w:val="22"/>
        </w:rPr>
        <w:t>. No. 40-1 Exhibit E. Defendant asserts that if Plaintiff did not click the checkbox and sign-up button, the registration process would have ended and he would not have been able to use Dropbox's platform. Weber Decl. ¶ 6.</w:t>
      </w:r>
    </w:p>
    <w:p w14:paraId="15B5F53F" w14:textId="77777777" w:rsidR="008B5AE2" w:rsidRPr="00EF577A" w:rsidRDefault="008B5AE2" w:rsidP="008B5AE2">
      <w:pPr>
        <w:jc w:val="both"/>
        <w:rPr>
          <w:szCs w:val="22"/>
        </w:rPr>
      </w:pPr>
      <w:r w:rsidRPr="00EF577A">
        <w:rPr>
          <w:color w:val="000000"/>
          <w:szCs w:val="22"/>
        </w:rPr>
        <w:t> </w:t>
      </w:r>
    </w:p>
    <w:p w14:paraId="008E2DC2" w14:textId="77777777" w:rsidR="008B5AE2" w:rsidRPr="00EF577A" w:rsidRDefault="008B5AE2" w:rsidP="008B5AE2">
      <w:pPr>
        <w:jc w:val="both"/>
        <w:rPr>
          <w:szCs w:val="22"/>
        </w:rPr>
      </w:pPr>
      <w:r w:rsidRPr="00EF577A">
        <w:rPr>
          <w:color w:val="000000"/>
          <w:szCs w:val="22"/>
        </w:rPr>
        <w:t xml:space="preserve">Defendant maintains that Plaintiff has continuously had a Dropbox account since he signed up on December 15, 2011. </w:t>
      </w:r>
      <w:r w:rsidRPr="00EF577A">
        <w:rPr>
          <w:i/>
          <w:color w:val="000000"/>
          <w:szCs w:val="22"/>
        </w:rPr>
        <w:t>Id.</w:t>
      </w:r>
      <w:r w:rsidRPr="00EF577A">
        <w:rPr>
          <w:color w:val="000000"/>
          <w:szCs w:val="22"/>
        </w:rPr>
        <w:t xml:space="preserve"> ¶ 10. Defendant represents that it has modified its terms of service twelve times since 2011. </w:t>
      </w:r>
      <w:r w:rsidRPr="00EF577A">
        <w:rPr>
          <w:i/>
          <w:color w:val="000000"/>
          <w:szCs w:val="22"/>
        </w:rPr>
        <w:t>Id.</w:t>
      </w:r>
      <w:r w:rsidRPr="00EF577A">
        <w:rPr>
          <w:color w:val="000000"/>
          <w:szCs w:val="22"/>
        </w:rPr>
        <w:t xml:space="preserve"> ¶¶ 11-21; Mot. at 9. Defendant's position is that Plaintiff assented to each of these modifications by continuing to use the Dropbox service. Reply at 9. In a March 24, 2014 modification, Dropbox added an arbitration provision to its terms of service. Mot. at 8. Dropbox asserts that it notified users, including Plaintiff, of this change in an email, with hyperlinks leading to the new terms of service and Defendant's blog, as indicated by differently colored text. </w:t>
      </w:r>
      <w:r w:rsidRPr="00EF577A">
        <w:rPr>
          <w:i/>
          <w:color w:val="000000"/>
          <w:szCs w:val="22"/>
        </w:rPr>
        <w:t>See</w:t>
      </w:r>
      <w:r w:rsidRPr="00EF577A">
        <w:rPr>
          <w:color w:val="000000"/>
          <w:szCs w:val="22"/>
        </w:rPr>
        <w:t xml:space="preserve"> Reply at 6; </w:t>
      </w:r>
      <w:proofErr w:type="spellStart"/>
      <w:r w:rsidRPr="00EF577A">
        <w:rPr>
          <w:color w:val="000000"/>
          <w:szCs w:val="22"/>
        </w:rPr>
        <w:t>Dkt</w:t>
      </w:r>
      <w:proofErr w:type="spellEnd"/>
      <w:r w:rsidRPr="00EF577A">
        <w:rPr>
          <w:color w:val="000000"/>
          <w:szCs w:val="22"/>
        </w:rPr>
        <w:t>. No. 53 Exhibit A. The email also included multiple bullet points describing changes being made to the TOS, including:</w:t>
      </w:r>
    </w:p>
    <w:p w14:paraId="697E23F8" w14:textId="77777777" w:rsidR="008B5AE2" w:rsidRPr="00EF577A" w:rsidRDefault="008B5AE2" w:rsidP="008B5AE2">
      <w:pPr>
        <w:ind w:left="480" w:right="480"/>
        <w:jc w:val="both"/>
        <w:rPr>
          <w:szCs w:val="22"/>
        </w:rPr>
      </w:pPr>
      <w:r w:rsidRPr="00EF577A">
        <w:rPr>
          <w:color w:val="000000"/>
          <w:szCs w:val="22"/>
        </w:rPr>
        <w:t>We're adding an arbitration section to our updated Terms of Service. Arbitration is a quick and efficient way to resolve disputes, and it provides an alternative to things like state or federal courts where the process could take months or even years. If you don't want to agree to arbitration, you can easily opt-out via an online form, within 30-days of these Terms becoming effective. This form, and other details, are available on our blog.</w:t>
      </w:r>
    </w:p>
    <w:p w14:paraId="2736DFA7" w14:textId="77777777" w:rsidR="008B5AE2" w:rsidRPr="00EF577A" w:rsidRDefault="008B5AE2" w:rsidP="008B5AE2">
      <w:pPr>
        <w:jc w:val="both"/>
        <w:rPr>
          <w:szCs w:val="22"/>
        </w:rPr>
      </w:pPr>
      <w:r w:rsidRPr="00EF577A">
        <w:rPr>
          <w:color w:val="000000"/>
          <w:szCs w:val="22"/>
        </w:rPr>
        <w:t> </w:t>
      </w:r>
    </w:p>
    <w:p w14:paraId="7F2EC096" w14:textId="77777777" w:rsidR="008B5AE2" w:rsidRPr="00EF577A" w:rsidRDefault="008B5AE2" w:rsidP="008B5AE2">
      <w:pPr>
        <w:jc w:val="both"/>
        <w:rPr>
          <w:szCs w:val="22"/>
        </w:rPr>
      </w:pPr>
      <w:proofErr w:type="spellStart"/>
      <w:r w:rsidRPr="00EF577A">
        <w:rPr>
          <w:color w:val="000000"/>
          <w:szCs w:val="22"/>
        </w:rPr>
        <w:t>Dkt</w:t>
      </w:r>
      <w:proofErr w:type="spellEnd"/>
      <w:r w:rsidRPr="00EF577A">
        <w:rPr>
          <w:color w:val="000000"/>
          <w:szCs w:val="22"/>
        </w:rPr>
        <w:t>. No. 40-1 Exhibit B.</w:t>
      </w:r>
    </w:p>
    <w:p w14:paraId="3F9F402A" w14:textId="77777777" w:rsidR="008B5AE2" w:rsidRPr="00EF577A" w:rsidRDefault="008B5AE2" w:rsidP="008B5AE2">
      <w:pPr>
        <w:jc w:val="both"/>
        <w:rPr>
          <w:szCs w:val="22"/>
        </w:rPr>
      </w:pPr>
      <w:r w:rsidRPr="00EF577A">
        <w:rPr>
          <w:color w:val="000000"/>
          <w:szCs w:val="22"/>
        </w:rPr>
        <w:t> </w:t>
      </w:r>
    </w:p>
    <w:p w14:paraId="5B6D66E5" w14:textId="77777777" w:rsidR="008B5AE2" w:rsidRPr="00EF577A" w:rsidRDefault="008B5AE2" w:rsidP="008B5AE2">
      <w:pPr>
        <w:jc w:val="both"/>
        <w:rPr>
          <w:szCs w:val="22"/>
        </w:rPr>
      </w:pPr>
      <w:r w:rsidRPr="00EF577A">
        <w:rPr>
          <w:color w:val="000000"/>
          <w:szCs w:val="22"/>
        </w:rPr>
        <w:t>Defendant further contends that all terms of service since March 24, 2014 have included substantially the same mandatory arbitration provision. Reply at 9. The September 24, 2019 terms of service, which were in effect when Plaintiff filed his Complaint, contain the following arbitration provision:</w:t>
      </w:r>
    </w:p>
    <w:p w14:paraId="0F113EA7" w14:textId="77777777" w:rsidR="008B5AE2" w:rsidRPr="00EF577A" w:rsidRDefault="008B5AE2" w:rsidP="008B5AE2">
      <w:pPr>
        <w:ind w:left="480" w:right="480"/>
        <w:jc w:val="both"/>
        <w:rPr>
          <w:szCs w:val="22"/>
        </w:rPr>
      </w:pPr>
      <w:r w:rsidRPr="00EF577A">
        <w:rPr>
          <w:i/>
          <w:color w:val="000000"/>
          <w:szCs w:val="22"/>
        </w:rPr>
        <w:t>We Both Agree to Arbitrate.</w:t>
      </w:r>
      <w:r w:rsidRPr="00EF577A">
        <w:rPr>
          <w:color w:val="000000"/>
          <w:szCs w:val="22"/>
        </w:rPr>
        <w:t xml:space="preserve"> You and Dropbox agree to resolve any claims relating to these Terms or the Services through final and binding arbitration by a single arbitrator, except as set forth under Exceptions to Agreement to Arbitrate below. </w:t>
      </w:r>
      <w:r w:rsidRPr="00EF577A">
        <w:rPr>
          <w:color w:val="000000"/>
          <w:szCs w:val="22"/>
        </w:rPr>
        <w:lastRenderedPageBreak/>
        <w:t>This includes disputes arising out of or relating to interpretation or application of this “Mandatory Arbitration Provisions” section, including its enforceability, revocability, or validity.</w:t>
      </w:r>
    </w:p>
    <w:p w14:paraId="239D4FE1" w14:textId="77777777" w:rsidR="008B5AE2" w:rsidRPr="00EF577A" w:rsidRDefault="008B5AE2" w:rsidP="008B5AE2">
      <w:pPr>
        <w:jc w:val="both"/>
        <w:rPr>
          <w:szCs w:val="22"/>
        </w:rPr>
      </w:pPr>
      <w:r w:rsidRPr="00EF577A">
        <w:rPr>
          <w:color w:val="000000"/>
          <w:szCs w:val="22"/>
        </w:rPr>
        <w:t> </w:t>
      </w:r>
    </w:p>
    <w:p w14:paraId="650E41F4" w14:textId="77777777" w:rsidR="008B5AE2" w:rsidRPr="00EF577A" w:rsidRDefault="008B5AE2" w:rsidP="008B5AE2">
      <w:pPr>
        <w:jc w:val="both"/>
        <w:rPr>
          <w:szCs w:val="22"/>
        </w:rPr>
      </w:pPr>
      <w:proofErr w:type="spellStart"/>
      <w:r w:rsidRPr="00EF577A">
        <w:rPr>
          <w:color w:val="000000"/>
          <w:szCs w:val="22"/>
        </w:rPr>
        <w:t>Dkt</w:t>
      </w:r>
      <w:proofErr w:type="spellEnd"/>
      <w:r w:rsidRPr="00EF577A">
        <w:rPr>
          <w:color w:val="000000"/>
          <w:szCs w:val="22"/>
        </w:rPr>
        <w:t xml:space="preserve">. No. 40-1 Exhibit P; </w:t>
      </w:r>
      <w:r w:rsidRPr="00EF577A">
        <w:rPr>
          <w:i/>
          <w:color w:val="000000"/>
          <w:szCs w:val="22"/>
        </w:rPr>
        <w:t>see also</w:t>
      </w:r>
      <w:r w:rsidRPr="00EF577A">
        <w:rPr>
          <w:color w:val="000000"/>
          <w:szCs w:val="22"/>
        </w:rPr>
        <w:t xml:space="preserve"> Mot. at 9. The September 24, 2019 TOS includes a provision for opting out of arbitration:</w:t>
      </w:r>
    </w:p>
    <w:p w14:paraId="6F0517F6" w14:textId="77777777" w:rsidR="008B5AE2" w:rsidRPr="00EF577A" w:rsidRDefault="008B5AE2" w:rsidP="008B5AE2">
      <w:pPr>
        <w:ind w:left="480" w:right="480"/>
        <w:jc w:val="both"/>
        <w:rPr>
          <w:szCs w:val="22"/>
        </w:rPr>
      </w:pPr>
      <w:r w:rsidRPr="00EF577A">
        <w:rPr>
          <w:i/>
          <w:color w:val="000000"/>
          <w:szCs w:val="22"/>
        </w:rPr>
        <w:t>Opt-out of Agreement to Arbitration.</w:t>
      </w:r>
      <w:r w:rsidRPr="00EF577A">
        <w:rPr>
          <w:color w:val="000000"/>
          <w:szCs w:val="22"/>
        </w:rPr>
        <w:t xml:space="preserve"> You can decline this agreement to arbitrate by clicking here and submitting the opt-out form within 30 days of first registering your account.</w:t>
      </w:r>
      <w:bookmarkStart w:id="103" w:name="co_fnRef_B00022056575165_ID0EECAE_1"/>
      <w:r w:rsidRPr="00EF577A">
        <w:rPr>
          <w:szCs w:val="22"/>
        </w:rPr>
        <w:fldChar w:fldCharType="begin"/>
      </w:r>
      <w:r w:rsidRPr="00EF577A">
        <w:rPr>
          <w:szCs w:val="22"/>
        </w:rPr>
        <w:instrText xml:space="preserve"> HYPERLINK \l "co_footnote_B00022056575165_1" \h </w:instrText>
      </w:r>
      <w:r w:rsidRPr="00EF577A">
        <w:rPr>
          <w:szCs w:val="22"/>
        </w:rPr>
      </w:r>
      <w:r w:rsidRPr="00EF577A">
        <w:rPr>
          <w:szCs w:val="22"/>
        </w:rPr>
        <w:fldChar w:fldCharType="separate"/>
      </w:r>
      <w:r w:rsidRPr="00EF577A">
        <w:rPr>
          <w:color w:val="0E568C"/>
          <w:szCs w:val="22"/>
          <w:vertAlign w:val="superscript"/>
        </w:rPr>
        <w:t>2</w:t>
      </w:r>
      <w:r w:rsidRPr="00EF577A">
        <w:rPr>
          <w:color w:val="0E568C"/>
          <w:szCs w:val="22"/>
          <w:vertAlign w:val="superscript"/>
        </w:rPr>
        <w:fldChar w:fldCharType="end"/>
      </w:r>
      <w:bookmarkEnd w:id="103"/>
      <w:r w:rsidRPr="00EF577A">
        <w:rPr>
          <w:color w:val="000000"/>
          <w:szCs w:val="22"/>
        </w:rPr>
        <w:t xml:space="preserve"> However, if you agreed to a previous version of these Terms that allowed you to opt out of arbitration, your previous choice to opt out or not opt out remains binding.</w:t>
      </w:r>
    </w:p>
    <w:p w14:paraId="31752EE8" w14:textId="77777777" w:rsidR="008B5AE2" w:rsidRPr="00EF577A" w:rsidRDefault="008B5AE2" w:rsidP="008B5AE2">
      <w:pPr>
        <w:jc w:val="both"/>
        <w:rPr>
          <w:szCs w:val="22"/>
        </w:rPr>
      </w:pPr>
      <w:r w:rsidRPr="00EF577A">
        <w:rPr>
          <w:color w:val="000000"/>
          <w:szCs w:val="22"/>
        </w:rPr>
        <w:t> </w:t>
      </w:r>
    </w:p>
    <w:p w14:paraId="77953B8A" w14:textId="77777777" w:rsidR="008B5AE2" w:rsidRPr="00EF577A" w:rsidRDefault="008B5AE2" w:rsidP="008B5AE2">
      <w:pPr>
        <w:jc w:val="both"/>
        <w:rPr>
          <w:szCs w:val="22"/>
        </w:rPr>
      </w:pPr>
      <w:proofErr w:type="spellStart"/>
      <w:r w:rsidRPr="00EF577A">
        <w:rPr>
          <w:color w:val="000000"/>
          <w:szCs w:val="22"/>
        </w:rPr>
        <w:t>Dkt</w:t>
      </w:r>
      <w:proofErr w:type="spellEnd"/>
      <w:r w:rsidRPr="00EF577A">
        <w:rPr>
          <w:color w:val="000000"/>
          <w:szCs w:val="22"/>
        </w:rPr>
        <w:t xml:space="preserve">. No. 40-1 Exhibit P. It also includes a list of exceptions to the agreement to arbitrate, such as when a party brings a lawsuit solely for injunctive relief, that do not apply here. </w:t>
      </w:r>
      <w:r w:rsidRPr="00EF577A">
        <w:rPr>
          <w:i/>
          <w:color w:val="000000"/>
          <w:szCs w:val="22"/>
        </w:rPr>
        <w:t>See id.</w:t>
      </w:r>
    </w:p>
    <w:p w14:paraId="331A255B" w14:textId="77777777" w:rsidR="008B5AE2" w:rsidRPr="00EF577A" w:rsidRDefault="008B5AE2" w:rsidP="008B5AE2">
      <w:pPr>
        <w:jc w:val="both"/>
        <w:rPr>
          <w:szCs w:val="22"/>
        </w:rPr>
      </w:pPr>
      <w:r w:rsidRPr="00EF577A">
        <w:rPr>
          <w:color w:val="000000"/>
          <w:szCs w:val="22"/>
        </w:rPr>
        <w:t> </w:t>
      </w:r>
    </w:p>
    <w:p w14:paraId="0D17D03B" w14:textId="77777777" w:rsidR="008B5AE2" w:rsidRPr="00EF577A" w:rsidRDefault="008B5AE2" w:rsidP="008B5AE2">
      <w:pPr>
        <w:jc w:val="both"/>
        <w:rPr>
          <w:szCs w:val="22"/>
        </w:rPr>
      </w:pPr>
      <w:r w:rsidRPr="00EF577A">
        <w:rPr>
          <w:color w:val="000000"/>
          <w:szCs w:val="22"/>
        </w:rPr>
        <w:t xml:space="preserve">Plaintiff does not contest Defendant's representations about the design and content of the website or the Terms of Service. </w:t>
      </w:r>
      <w:r w:rsidRPr="00EF577A">
        <w:rPr>
          <w:i/>
          <w:color w:val="000000"/>
          <w:szCs w:val="22"/>
        </w:rPr>
        <w:t>See generally</w:t>
      </w:r>
      <w:r w:rsidRPr="00EF577A">
        <w:rPr>
          <w:color w:val="000000"/>
          <w:szCs w:val="22"/>
        </w:rPr>
        <w:t xml:space="preserve"> Opp. Plaintiff also does not contest that he agreed to the July 6, 2011 TOS. </w:t>
      </w:r>
      <w:r w:rsidRPr="00EF577A">
        <w:rPr>
          <w:i/>
          <w:color w:val="000000"/>
          <w:szCs w:val="22"/>
        </w:rPr>
        <w:t>See</w:t>
      </w:r>
      <w:r w:rsidRPr="00EF577A">
        <w:rPr>
          <w:color w:val="000000"/>
          <w:szCs w:val="22"/>
        </w:rPr>
        <w:t xml:space="preserve"> Opp. at 1-2. However, Plaintiff argues that the July 6, 2011 TOS does not contain an arbitration provision, and that he never agreed to any later terms of service. </w:t>
      </w:r>
      <w:r w:rsidRPr="00EF577A">
        <w:rPr>
          <w:i/>
          <w:color w:val="000000"/>
          <w:szCs w:val="22"/>
        </w:rPr>
        <w:t>See</w:t>
      </w:r>
      <w:r w:rsidRPr="00EF577A">
        <w:rPr>
          <w:color w:val="000000"/>
          <w:szCs w:val="22"/>
        </w:rPr>
        <w:t xml:space="preserve"> </w:t>
      </w:r>
      <w:r w:rsidRPr="00EF577A">
        <w:rPr>
          <w:i/>
          <w:color w:val="000000"/>
          <w:szCs w:val="22"/>
        </w:rPr>
        <w:t>id.</w:t>
      </w:r>
      <w:r w:rsidRPr="00EF577A">
        <w:rPr>
          <w:color w:val="000000"/>
          <w:szCs w:val="22"/>
        </w:rPr>
        <w:t xml:space="preserve"> at 1. Plaintiff contends that he “never read, clicked </w:t>
      </w:r>
      <w:proofErr w:type="gramStart"/>
      <w:r w:rsidRPr="00EF577A">
        <w:rPr>
          <w:color w:val="000000"/>
          <w:szCs w:val="22"/>
        </w:rPr>
        <w:t>on[</w:t>
      </w:r>
      <w:proofErr w:type="gramEnd"/>
      <w:r w:rsidRPr="00EF577A">
        <w:rPr>
          <w:color w:val="000000"/>
          <w:szCs w:val="22"/>
        </w:rPr>
        <w:t>, or] accepted any updated terms and condition [</w:t>
      </w:r>
      <w:r w:rsidRPr="00EF577A">
        <w:rPr>
          <w:i/>
          <w:color w:val="000000"/>
          <w:szCs w:val="22"/>
        </w:rPr>
        <w:t>sic</w:t>
      </w:r>
      <w:r w:rsidRPr="00EF577A">
        <w:rPr>
          <w:color w:val="000000"/>
          <w:szCs w:val="22"/>
        </w:rPr>
        <w:t xml:space="preserve">] including any emails sent concerning any changes to the (TOS)’s and the arbitration agreement.” </w:t>
      </w:r>
      <w:r w:rsidRPr="00EF577A">
        <w:rPr>
          <w:i/>
          <w:color w:val="000000"/>
          <w:szCs w:val="22"/>
        </w:rPr>
        <w:t>Id.</w:t>
      </w:r>
    </w:p>
    <w:p w14:paraId="659C1570" w14:textId="77777777" w:rsidR="008B5AE2" w:rsidRPr="00EF577A" w:rsidRDefault="008B5AE2" w:rsidP="008B5AE2">
      <w:pPr>
        <w:jc w:val="both"/>
        <w:rPr>
          <w:szCs w:val="22"/>
        </w:rPr>
      </w:pPr>
      <w:r w:rsidRPr="00EF577A">
        <w:rPr>
          <w:color w:val="000000"/>
          <w:szCs w:val="22"/>
        </w:rPr>
        <w:t> </w:t>
      </w:r>
    </w:p>
    <w:p w14:paraId="2FEF57C2" w14:textId="77777777" w:rsidR="008B5AE2" w:rsidRPr="00EF577A" w:rsidRDefault="008B5AE2" w:rsidP="008B5AE2">
      <w:pPr>
        <w:pBdr>
          <w:left w:val="none" w:sz="0" w:space="10" w:color="auto"/>
        </w:pBdr>
        <w:ind w:left="200"/>
        <w:rPr>
          <w:szCs w:val="22"/>
        </w:rPr>
      </w:pPr>
      <w:bookmarkStart w:id="104" w:name="co_anchor_I0045b081042d11ed9d91b66de2"/>
      <w:bookmarkStart w:id="105" w:name="co_anchor_I0045b081042d11ed9d91b66de71f"/>
      <w:r w:rsidRPr="00EF577A">
        <w:rPr>
          <w:b/>
          <w:color w:val="000000"/>
          <w:szCs w:val="22"/>
        </w:rPr>
        <w:t>B. Validity of Arbitration Agreement</w:t>
      </w:r>
    </w:p>
    <w:bookmarkEnd w:id="104"/>
    <w:bookmarkEnd w:id="105"/>
    <w:p w14:paraId="0C0680CD" w14:textId="77777777" w:rsidR="008B5AE2" w:rsidRPr="00EF577A" w:rsidRDefault="008B5AE2" w:rsidP="008B5AE2">
      <w:pPr>
        <w:jc w:val="both"/>
        <w:rPr>
          <w:color w:val="000000"/>
          <w:szCs w:val="22"/>
        </w:rPr>
      </w:pPr>
    </w:p>
    <w:p w14:paraId="7087EB59" w14:textId="77777777" w:rsidR="008B5AE2" w:rsidRPr="00EF577A" w:rsidRDefault="008B5AE2" w:rsidP="008B5AE2">
      <w:pPr>
        <w:jc w:val="both"/>
        <w:rPr>
          <w:szCs w:val="22"/>
        </w:rPr>
      </w:pPr>
      <w:r w:rsidRPr="00EF577A">
        <w:rPr>
          <w:color w:val="000000"/>
          <w:szCs w:val="22"/>
        </w:rPr>
        <w:t xml:space="preserve">When the parties contest whether an agreement was formed, the party seeking to compel arbitration bears the burden of proving the existence of the agreement by a preponderance of the evidence. </w:t>
      </w:r>
      <w:r w:rsidRPr="00EF577A">
        <w:rPr>
          <w:i/>
          <w:color w:val="000000"/>
          <w:szCs w:val="22"/>
        </w:rPr>
        <w:t>See</w:t>
      </w:r>
      <w:r w:rsidRPr="00EF577A">
        <w:rPr>
          <w:color w:val="000000"/>
          <w:szCs w:val="22"/>
        </w:rPr>
        <w:t xml:space="preserve"> </w:t>
      </w:r>
      <w:hyperlink r:id="rId91" w:anchor="co_pp_sp_506_1283">
        <w:r w:rsidRPr="00EF577A">
          <w:rPr>
            <w:i/>
            <w:color w:val="0E568C"/>
            <w:szCs w:val="22"/>
          </w:rPr>
          <w:t xml:space="preserve">Norcia v. Samsung </w:t>
        </w:r>
        <w:proofErr w:type="spellStart"/>
        <w:r w:rsidRPr="00EF577A">
          <w:rPr>
            <w:i/>
            <w:color w:val="0E568C"/>
            <w:szCs w:val="22"/>
          </w:rPr>
          <w:t>Telecomms</w:t>
        </w:r>
        <w:proofErr w:type="spellEnd"/>
        <w:r w:rsidRPr="00EF577A">
          <w:rPr>
            <w:i/>
            <w:color w:val="0E568C"/>
            <w:szCs w:val="22"/>
          </w:rPr>
          <w:t>. Am., LLC</w:t>
        </w:r>
        <w:r w:rsidRPr="00EF577A">
          <w:rPr>
            <w:color w:val="0E568C"/>
            <w:szCs w:val="22"/>
          </w:rPr>
          <w:t>, 845 F.3d 1279, 1283 (9th Cir. 2017)</w:t>
        </w:r>
      </w:hyperlink>
      <w:r w:rsidRPr="00EF577A">
        <w:rPr>
          <w:color w:val="000000"/>
          <w:szCs w:val="22"/>
        </w:rPr>
        <w:t xml:space="preserve">. Conversely, the party opposing arbitration is entitled to the benefit of all reasonable doubts and inferences. </w:t>
      </w:r>
      <w:r w:rsidRPr="00EF577A">
        <w:rPr>
          <w:i/>
          <w:color w:val="000000"/>
          <w:szCs w:val="22"/>
        </w:rPr>
        <w:t>See</w:t>
      </w:r>
      <w:r w:rsidRPr="00EF577A">
        <w:rPr>
          <w:color w:val="000000"/>
          <w:szCs w:val="22"/>
        </w:rPr>
        <w:t xml:space="preserve"> </w:t>
      </w:r>
      <w:hyperlink r:id="rId92" w:anchor="co_pp_sp_350_1141">
        <w:r w:rsidRPr="00EF577A">
          <w:rPr>
            <w:i/>
            <w:color w:val="0E568C"/>
            <w:szCs w:val="22"/>
          </w:rPr>
          <w:t>Three Valleys Mun. Water Dist. v. E.F. Hutton &amp; Co.</w:t>
        </w:r>
        <w:r w:rsidRPr="00EF577A">
          <w:rPr>
            <w:color w:val="0E568C"/>
            <w:szCs w:val="22"/>
          </w:rPr>
          <w:t>, 925 F.2d 1136, 1141 (9th Cir. 1991)</w:t>
        </w:r>
      </w:hyperlink>
      <w:r w:rsidRPr="00EF577A">
        <w:rPr>
          <w:color w:val="000000"/>
          <w:szCs w:val="22"/>
        </w:rPr>
        <w:t>. Therefore, a court may find that an agreement to arbitrate exists as a matter of law “[o]</w:t>
      </w:r>
      <w:proofErr w:type="spellStart"/>
      <w:r w:rsidRPr="00EF577A">
        <w:rPr>
          <w:color w:val="000000"/>
          <w:szCs w:val="22"/>
        </w:rPr>
        <w:t>nly</w:t>
      </w:r>
      <w:proofErr w:type="spellEnd"/>
      <w:r w:rsidRPr="00EF577A">
        <w:rPr>
          <w:color w:val="000000"/>
          <w:szCs w:val="22"/>
        </w:rPr>
        <w:t xml:space="preserve"> when there is no genuine issue of fact concerning the formation of the agreement.” </w:t>
      </w:r>
      <w:r w:rsidRPr="00EF577A">
        <w:rPr>
          <w:i/>
          <w:color w:val="000000"/>
          <w:szCs w:val="22"/>
        </w:rPr>
        <w:t>Id.</w:t>
      </w:r>
      <w:r w:rsidRPr="00EF577A">
        <w:rPr>
          <w:color w:val="000000"/>
          <w:szCs w:val="22"/>
        </w:rPr>
        <w:t xml:space="preserve"> (citation and quotation omitted).</w:t>
      </w:r>
    </w:p>
    <w:p w14:paraId="295C9BFC" w14:textId="77777777" w:rsidR="008B5AE2" w:rsidRPr="00EF577A" w:rsidRDefault="008B5AE2" w:rsidP="008B5AE2">
      <w:pPr>
        <w:jc w:val="both"/>
        <w:rPr>
          <w:szCs w:val="22"/>
        </w:rPr>
      </w:pPr>
      <w:r w:rsidRPr="00EF577A">
        <w:rPr>
          <w:color w:val="000000"/>
          <w:szCs w:val="22"/>
        </w:rPr>
        <w:t> </w:t>
      </w:r>
    </w:p>
    <w:p w14:paraId="60D8E6B1" w14:textId="77777777" w:rsidR="008B5AE2" w:rsidRPr="00EF577A" w:rsidRDefault="008B5AE2" w:rsidP="008B5AE2">
      <w:pPr>
        <w:jc w:val="both"/>
        <w:rPr>
          <w:szCs w:val="22"/>
        </w:rPr>
      </w:pPr>
      <w:r w:rsidRPr="00EF577A">
        <w:rPr>
          <w:color w:val="000000"/>
          <w:szCs w:val="22"/>
        </w:rPr>
        <w:t>In determining whether an agreement was formed, the Court applies “general state-law principles of contract interpretation,” without a presumption in favor of arbitrability.</w:t>
      </w:r>
      <w:bookmarkStart w:id="106" w:name="co_fnRef_B00032056575165_ID0EQIAE_1"/>
      <w:r w:rsidRPr="00EF577A">
        <w:rPr>
          <w:szCs w:val="22"/>
        </w:rPr>
        <w:fldChar w:fldCharType="begin"/>
      </w:r>
      <w:r w:rsidRPr="00EF577A">
        <w:rPr>
          <w:szCs w:val="22"/>
        </w:rPr>
        <w:instrText xml:space="preserve"> HYPERLINK \l "co_footnote_B00032056575165_1" \h </w:instrText>
      </w:r>
      <w:r w:rsidRPr="00EF577A">
        <w:rPr>
          <w:szCs w:val="22"/>
        </w:rPr>
      </w:r>
      <w:r w:rsidRPr="00EF577A">
        <w:rPr>
          <w:szCs w:val="22"/>
        </w:rPr>
        <w:fldChar w:fldCharType="separate"/>
      </w:r>
      <w:r w:rsidRPr="00EF577A">
        <w:rPr>
          <w:color w:val="0E568C"/>
          <w:szCs w:val="22"/>
          <w:vertAlign w:val="superscript"/>
        </w:rPr>
        <w:t>3</w:t>
      </w:r>
      <w:r w:rsidRPr="00EF577A">
        <w:rPr>
          <w:color w:val="0E568C"/>
          <w:szCs w:val="22"/>
          <w:vertAlign w:val="superscript"/>
        </w:rPr>
        <w:fldChar w:fldCharType="end"/>
      </w:r>
      <w:bookmarkEnd w:id="106"/>
      <w:r w:rsidRPr="00EF577A">
        <w:rPr>
          <w:color w:val="000000"/>
          <w:szCs w:val="22"/>
        </w:rPr>
        <w:t xml:space="preserve"> </w:t>
      </w:r>
      <w:r w:rsidRPr="00EF577A">
        <w:rPr>
          <w:i/>
          <w:color w:val="000000"/>
          <w:szCs w:val="22"/>
        </w:rPr>
        <w:t>See</w:t>
      </w:r>
      <w:r w:rsidRPr="00EF577A">
        <w:rPr>
          <w:color w:val="000000"/>
          <w:szCs w:val="22"/>
        </w:rPr>
        <w:t xml:space="preserve"> </w:t>
      </w:r>
      <w:hyperlink r:id="rId93" w:anchor="co_pp_sp_506_742">
        <w:r w:rsidRPr="00EF577A">
          <w:rPr>
            <w:i/>
            <w:color w:val="0E568C"/>
            <w:szCs w:val="22"/>
          </w:rPr>
          <w:t>Goldman, Sachs &amp; Co. v. City of Reno</w:t>
        </w:r>
        <w:r w:rsidRPr="00EF577A">
          <w:rPr>
            <w:color w:val="0E568C"/>
            <w:szCs w:val="22"/>
          </w:rPr>
          <w:t>, 747 F.3d 733, 742 (9th Cir. 2014)</w:t>
        </w:r>
      </w:hyperlink>
      <w:r w:rsidRPr="00EF577A">
        <w:rPr>
          <w:color w:val="000000"/>
          <w:szCs w:val="22"/>
        </w:rPr>
        <w:t xml:space="preserve"> (quotation omitted). The Ninth Circuit has recognized that while the rise of internet-based commerce “has exposed courts to many new situations, it has not fundamentally changed the principles of contract.” </w:t>
      </w:r>
      <w:hyperlink r:id="rId94" w:anchor="co_pp_sp_506_1175">
        <w:r w:rsidRPr="00EF577A">
          <w:rPr>
            <w:i/>
            <w:color w:val="0E568C"/>
            <w:szCs w:val="22"/>
          </w:rPr>
          <w:t>Nguyen v. Barnes &amp; Noble, Inc.</w:t>
        </w:r>
        <w:r w:rsidRPr="00EF577A">
          <w:rPr>
            <w:color w:val="0E568C"/>
            <w:szCs w:val="22"/>
          </w:rPr>
          <w:t>, 763 F.3d 1171, 1175 (9th Cir. 2014)</w:t>
        </w:r>
      </w:hyperlink>
      <w:r w:rsidRPr="00EF577A">
        <w:rPr>
          <w:color w:val="000000"/>
          <w:szCs w:val="22"/>
        </w:rPr>
        <w:t xml:space="preserve">. One of those principles is that in order for a contract to be formed there must be mutual manifestation of assent. </w:t>
      </w:r>
      <w:r w:rsidRPr="00EF577A">
        <w:rPr>
          <w:i/>
          <w:color w:val="000000"/>
          <w:szCs w:val="22"/>
        </w:rPr>
        <w:t>Id.</w:t>
      </w:r>
    </w:p>
    <w:p w14:paraId="7C16ED76" w14:textId="77777777" w:rsidR="008B5AE2" w:rsidRPr="00EF577A" w:rsidRDefault="008B5AE2" w:rsidP="008B5AE2">
      <w:pPr>
        <w:jc w:val="both"/>
        <w:rPr>
          <w:szCs w:val="22"/>
        </w:rPr>
      </w:pPr>
      <w:r w:rsidRPr="00EF577A">
        <w:rPr>
          <w:color w:val="000000"/>
          <w:szCs w:val="22"/>
        </w:rPr>
        <w:t> </w:t>
      </w:r>
    </w:p>
    <w:p w14:paraId="16A0CDEB" w14:textId="77777777" w:rsidR="008B5AE2" w:rsidRPr="00EF577A" w:rsidRDefault="008B5AE2" w:rsidP="008B5AE2">
      <w:pPr>
        <w:jc w:val="both"/>
        <w:rPr>
          <w:szCs w:val="22"/>
        </w:rPr>
      </w:pPr>
      <w:r w:rsidRPr="00EF577A">
        <w:rPr>
          <w:color w:val="000000"/>
          <w:szCs w:val="22"/>
        </w:rPr>
        <w:t xml:space="preserve">Courts generally evaluate online contracts as falling into one of two categories: (1) “clickwrap” agreements where a user is presented with the terms and conditions and must click on a button or box to indicate that he agrees before he may continue, which courts generally </w:t>
      </w:r>
      <w:r w:rsidRPr="00EF577A">
        <w:rPr>
          <w:color w:val="000000"/>
          <w:szCs w:val="22"/>
        </w:rPr>
        <w:lastRenderedPageBreak/>
        <w:t>enforce; and (2) “</w:t>
      </w:r>
      <w:proofErr w:type="spellStart"/>
      <w:r w:rsidRPr="00EF577A">
        <w:rPr>
          <w:color w:val="000000"/>
          <w:szCs w:val="22"/>
        </w:rPr>
        <w:t>browsewrap</w:t>
      </w:r>
      <w:proofErr w:type="spellEnd"/>
      <w:r w:rsidRPr="00EF577A">
        <w:rPr>
          <w:color w:val="000000"/>
          <w:szCs w:val="22"/>
        </w:rPr>
        <w:t xml:space="preserve">” agreements where the website's terms and conditions are provided to users via a hyperlink at the bottom of a webpage and a user's assent to the terms is assumed by his continued use of the website, which courts often view with skepticism. </w:t>
      </w:r>
      <w:r w:rsidRPr="00EF577A">
        <w:rPr>
          <w:i/>
          <w:color w:val="000000"/>
          <w:szCs w:val="22"/>
        </w:rPr>
        <w:t>See</w:t>
      </w:r>
      <w:r w:rsidRPr="00EF577A">
        <w:rPr>
          <w:color w:val="000000"/>
          <w:szCs w:val="22"/>
        </w:rPr>
        <w:t xml:space="preserve"> </w:t>
      </w:r>
      <w:r w:rsidRPr="00EF577A">
        <w:rPr>
          <w:i/>
          <w:color w:val="000000"/>
          <w:szCs w:val="22"/>
        </w:rPr>
        <w:t>id.</w:t>
      </w:r>
      <w:r w:rsidRPr="00EF577A">
        <w:rPr>
          <w:color w:val="000000"/>
          <w:szCs w:val="22"/>
        </w:rPr>
        <w:t xml:space="preserve"> at 1175–77. Online contracts can also be some blend of the two. </w:t>
      </w:r>
      <w:r w:rsidRPr="00EF577A">
        <w:rPr>
          <w:i/>
          <w:color w:val="000000"/>
          <w:szCs w:val="22"/>
        </w:rPr>
        <w:t>Id.</w:t>
      </w:r>
      <w:r w:rsidRPr="00EF577A">
        <w:rPr>
          <w:color w:val="000000"/>
          <w:szCs w:val="22"/>
        </w:rPr>
        <w:t xml:space="preserve"> at 1176-77. Regardless, “the onus [is] on website owners to put users on notice of the terms to which they wish to bind consumers.” </w:t>
      </w:r>
      <w:r w:rsidRPr="00EF577A">
        <w:rPr>
          <w:i/>
          <w:color w:val="000000"/>
          <w:szCs w:val="22"/>
        </w:rPr>
        <w:t>Id.</w:t>
      </w:r>
      <w:r w:rsidRPr="00EF577A">
        <w:rPr>
          <w:color w:val="000000"/>
          <w:szCs w:val="22"/>
        </w:rPr>
        <w:t xml:space="preserve"> at 1179.</w:t>
      </w:r>
    </w:p>
    <w:p w14:paraId="32086233" w14:textId="77777777" w:rsidR="008B5AE2" w:rsidRPr="00EF577A" w:rsidRDefault="008B5AE2" w:rsidP="008B5AE2">
      <w:pPr>
        <w:jc w:val="both"/>
        <w:rPr>
          <w:szCs w:val="22"/>
        </w:rPr>
      </w:pPr>
      <w:r w:rsidRPr="00EF577A">
        <w:rPr>
          <w:color w:val="000000"/>
          <w:szCs w:val="22"/>
        </w:rPr>
        <w:t> </w:t>
      </w:r>
    </w:p>
    <w:p w14:paraId="06AC105A" w14:textId="77777777" w:rsidR="008B5AE2" w:rsidRPr="00EF577A" w:rsidRDefault="008B5AE2" w:rsidP="008B5AE2">
      <w:pPr>
        <w:jc w:val="center"/>
        <w:rPr>
          <w:szCs w:val="22"/>
        </w:rPr>
      </w:pPr>
      <w:bookmarkStart w:id="107" w:name="co_anchor_I00484891042d11ed9d91b66de71f"/>
      <w:r w:rsidRPr="00EF577A">
        <w:rPr>
          <w:b/>
          <w:color w:val="000000"/>
          <w:szCs w:val="22"/>
        </w:rPr>
        <w:t>i. Plaintiff assented to the 2011 TOS.</w:t>
      </w:r>
    </w:p>
    <w:bookmarkEnd w:id="107"/>
    <w:p w14:paraId="11FC0DA9" w14:textId="77777777" w:rsidR="008B5AE2" w:rsidRPr="00EF577A" w:rsidRDefault="008B5AE2" w:rsidP="008B5AE2">
      <w:pPr>
        <w:jc w:val="both"/>
        <w:rPr>
          <w:color w:val="000000"/>
          <w:szCs w:val="22"/>
        </w:rPr>
      </w:pPr>
    </w:p>
    <w:p w14:paraId="0DA4D262" w14:textId="77777777" w:rsidR="008B5AE2" w:rsidRPr="00EF577A" w:rsidRDefault="008B5AE2" w:rsidP="008B5AE2">
      <w:pPr>
        <w:jc w:val="both"/>
        <w:rPr>
          <w:szCs w:val="22"/>
        </w:rPr>
      </w:pPr>
      <w:r w:rsidRPr="00EF577A">
        <w:rPr>
          <w:color w:val="000000"/>
          <w:szCs w:val="22"/>
        </w:rPr>
        <w:t xml:space="preserve">Plaintiff's assent to the January 6, 2011 TOS falls on the “clickwrap” end of the spectrum. He clicked a box stating, “I agree to Dropbox Terms of Service”, and the July 6, 2011 TOS was hyperlinked next to that checkbox. </w:t>
      </w:r>
      <w:r w:rsidRPr="00EF577A">
        <w:rPr>
          <w:i/>
          <w:color w:val="000000"/>
          <w:szCs w:val="22"/>
        </w:rPr>
        <w:t>See</w:t>
      </w:r>
      <w:r w:rsidRPr="00EF577A">
        <w:rPr>
          <w:color w:val="000000"/>
          <w:szCs w:val="22"/>
        </w:rPr>
        <w:t xml:space="preserve"> Weber Decl. ¶ 6, Exhibit A. Plaintiff had clear notice, and took physical action to manifest his assent. Plaintiff does not contest that he agreed to the 2011 TOS at the time he created a Dropbox account, </w:t>
      </w:r>
      <w:r w:rsidRPr="00EF577A">
        <w:rPr>
          <w:i/>
          <w:color w:val="000000"/>
          <w:szCs w:val="22"/>
        </w:rPr>
        <w:t>see</w:t>
      </w:r>
      <w:r w:rsidRPr="00EF577A">
        <w:rPr>
          <w:color w:val="000000"/>
          <w:szCs w:val="22"/>
        </w:rPr>
        <w:t xml:space="preserve"> Opp. at 1-2, and the Court finds that there was a mutual manifestation of assent to the 2011 TOS. Importantly, however, the 2011 TOS did not have a mandatory arbitration provision.</w:t>
      </w:r>
    </w:p>
    <w:p w14:paraId="07279FBE" w14:textId="77777777" w:rsidR="008B5AE2" w:rsidRPr="00EF577A" w:rsidRDefault="008B5AE2" w:rsidP="008B5AE2">
      <w:pPr>
        <w:jc w:val="both"/>
        <w:rPr>
          <w:szCs w:val="22"/>
        </w:rPr>
      </w:pPr>
      <w:r w:rsidRPr="00EF577A">
        <w:rPr>
          <w:color w:val="000000"/>
          <w:szCs w:val="22"/>
        </w:rPr>
        <w:t> </w:t>
      </w:r>
    </w:p>
    <w:p w14:paraId="162800F6" w14:textId="77777777" w:rsidR="008B5AE2" w:rsidRPr="00EF577A" w:rsidRDefault="008B5AE2" w:rsidP="008B5AE2">
      <w:pPr>
        <w:jc w:val="center"/>
        <w:rPr>
          <w:szCs w:val="22"/>
        </w:rPr>
      </w:pPr>
      <w:bookmarkStart w:id="108" w:name="co_anchor_I0048e4d1042d11ed9d91b66de71f"/>
      <w:r w:rsidRPr="00EF577A">
        <w:rPr>
          <w:b/>
          <w:color w:val="000000"/>
          <w:szCs w:val="22"/>
        </w:rPr>
        <w:t>ii. Defendants fail to show that Plaintiff had notice of the later terms of service.</w:t>
      </w:r>
    </w:p>
    <w:bookmarkEnd w:id="108"/>
    <w:p w14:paraId="17B9950B" w14:textId="77777777" w:rsidR="008B5AE2" w:rsidRPr="00EF577A" w:rsidRDefault="008B5AE2" w:rsidP="008B5AE2">
      <w:pPr>
        <w:jc w:val="both"/>
        <w:rPr>
          <w:color w:val="000000"/>
          <w:szCs w:val="22"/>
        </w:rPr>
      </w:pPr>
    </w:p>
    <w:p w14:paraId="459778E6" w14:textId="77777777" w:rsidR="008B5AE2" w:rsidRPr="00EF577A" w:rsidRDefault="008B5AE2" w:rsidP="008B5AE2">
      <w:pPr>
        <w:jc w:val="both"/>
        <w:rPr>
          <w:szCs w:val="22"/>
        </w:rPr>
      </w:pPr>
      <w:r w:rsidRPr="00EF577A">
        <w:rPr>
          <w:color w:val="000000"/>
          <w:szCs w:val="22"/>
        </w:rPr>
        <w:t xml:space="preserve">Plaintiff denies that he agreed to the later terms of service that added mandatory arbitration provisions. Opp. at 1. Defendant, on the other hand, contends that Plaintiff assented to the subsequent versions by continuing to use Defendant's service. </w:t>
      </w:r>
      <w:proofErr w:type="spellStart"/>
      <w:r w:rsidRPr="00EF577A">
        <w:rPr>
          <w:color w:val="000000"/>
          <w:szCs w:val="22"/>
        </w:rPr>
        <w:t>Dkt</w:t>
      </w:r>
      <w:proofErr w:type="spellEnd"/>
      <w:r w:rsidRPr="00EF577A">
        <w:rPr>
          <w:color w:val="000000"/>
          <w:szCs w:val="22"/>
        </w:rPr>
        <w:t xml:space="preserve">. No. 47 at 7; </w:t>
      </w:r>
      <w:r w:rsidRPr="00EF577A">
        <w:rPr>
          <w:i/>
          <w:color w:val="000000"/>
          <w:szCs w:val="22"/>
        </w:rPr>
        <w:t>see also</w:t>
      </w:r>
      <w:r w:rsidRPr="00EF577A">
        <w:rPr>
          <w:color w:val="000000"/>
          <w:szCs w:val="22"/>
        </w:rPr>
        <w:t xml:space="preserve"> </w:t>
      </w:r>
      <w:proofErr w:type="spellStart"/>
      <w:r w:rsidRPr="00EF577A">
        <w:rPr>
          <w:color w:val="000000"/>
          <w:szCs w:val="22"/>
        </w:rPr>
        <w:t>Dkt</w:t>
      </w:r>
      <w:proofErr w:type="spellEnd"/>
      <w:r w:rsidRPr="00EF577A">
        <w:rPr>
          <w:color w:val="000000"/>
          <w:szCs w:val="22"/>
        </w:rPr>
        <w:t xml:space="preserve">. No. 40 at 9 n.2. Assent by continued use of a web service is a traditional feature of </w:t>
      </w:r>
      <w:proofErr w:type="spellStart"/>
      <w:r w:rsidRPr="00EF577A">
        <w:rPr>
          <w:color w:val="000000"/>
          <w:szCs w:val="22"/>
        </w:rPr>
        <w:t>browsewrap</w:t>
      </w:r>
      <w:proofErr w:type="spellEnd"/>
      <w:r w:rsidRPr="00EF577A">
        <w:rPr>
          <w:color w:val="000000"/>
          <w:szCs w:val="22"/>
        </w:rPr>
        <w:t xml:space="preserve"> agreements. </w:t>
      </w:r>
      <w:hyperlink r:id="rId95" w:anchor="co_pp_sp_506_1176">
        <w:r w:rsidRPr="00EF577A">
          <w:rPr>
            <w:i/>
            <w:color w:val="0E568C"/>
            <w:szCs w:val="22"/>
          </w:rPr>
          <w:t>Nguyen</w:t>
        </w:r>
        <w:r w:rsidRPr="00EF577A">
          <w:rPr>
            <w:color w:val="0E568C"/>
            <w:szCs w:val="22"/>
          </w:rPr>
          <w:t>, 763 F.3d at 1176</w:t>
        </w:r>
      </w:hyperlink>
      <w:r w:rsidRPr="00EF577A">
        <w:rPr>
          <w:color w:val="000000"/>
          <w:szCs w:val="22"/>
        </w:rPr>
        <w:t xml:space="preserve"> (“The defining feature of </w:t>
      </w:r>
      <w:proofErr w:type="spellStart"/>
      <w:r w:rsidRPr="00EF577A">
        <w:rPr>
          <w:color w:val="000000"/>
          <w:szCs w:val="22"/>
        </w:rPr>
        <w:t>browsewrap</w:t>
      </w:r>
      <w:proofErr w:type="spellEnd"/>
      <w:r w:rsidRPr="00EF577A">
        <w:rPr>
          <w:color w:val="000000"/>
          <w:szCs w:val="22"/>
        </w:rPr>
        <w:t xml:space="preserve"> agreements is that the user can continue to use the website or its services without visiting the page hosting the </w:t>
      </w:r>
      <w:proofErr w:type="spellStart"/>
      <w:r w:rsidRPr="00EF577A">
        <w:rPr>
          <w:color w:val="000000"/>
          <w:szCs w:val="22"/>
        </w:rPr>
        <w:t>browsewrap</w:t>
      </w:r>
      <w:proofErr w:type="spellEnd"/>
      <w:r w:rsidRPr="00EF577A">
        <w:rPr>
          <w:color w:val="000000"/>
          <w:szCs w:val="22"/>
        </w:rPr>
        <w:t xml:space="preserve"> agreement or even knowing that such a webpage exists.”) (citation omitted). “Courts are more reluctant to enforce </w:t>
      </w:r>
      <w:proofErr w:type="spellStart"/>
      <w:r w:rsidRPr="00EF577A">
        <w:rPr>
          <w:color w:val="000000"/>
          <w:szCs w:val="22"/>
        </w:rPr>
        <w:t>browsewrap</w:t>
      </w:r>
      <w:proofErr w:type="spellEnd"/>
      <w:r w:rsidRPr="00EF577A">
        <w:rPr>
          <w:color w:val="000000"/>
          <w:szCs w:val="22"/>
        </w:rPr>
        <w:t xml:space="preserve"> agreements because consumers are frequently left unaware that contractual terms were even offered, much less that continued use of the website will be deemed to manifest acceptance of those terms.” </w:t>
      </w:r>
      <w:hyperlink r:id="rId96" w:anchor="co_pp_sp_8173_856">
        <w:r w:rsidRPr="00EF577A">
          <w:rPr>
            <w:i/>
            <w:color w:val="0E568C"/>
            <w:szCs w:val="22"/>
          </w:rPr>
          <w:t>Berman v. Freedom Financial Network, LLC</w:t>
        </w:r>
        <w:r w:rsidRPr="00EF577A">
          <w:rPr>
            <w:color w:val="0E568C"/>
            <w:szCs w:val="22"/>
          </w:rPr>
          <w:t>, 30 F.4th 849, 856 (9th Cir. 2022)</w:t>
        </w:r>
      </w:hyperlink>
      <w:r w:rsidRPr="00EF577A">
        <w:rPr>
          <w:color w:val="000000"/>
          <w:szCs w:val="22"/>
        </w:rPr>
        <w:t>.</w:t>
      </w:r>
    </w:p>
    <w:p w14:paraId="5F05E858" w14:textId="77777777" w:rsidR="008B5AE2" w:rsidRPr="00EF577A" w:rsidRDefault="008B5AE2" w:rsidP="008B5AE2">
      <w:pPr>
        <w:jc w:val="both"/>
        <w:rPr>
          <w:szCs w:val="22"/>
        </w:rPr>
      </w:pPr>
      <w:r w:rsidRPr="00EF577A">
        <w:rPr>
          <w:color w:val="000000"/>
          <w:szCs w:val="22"/>
        </w:rPr>
        <w:t> </w:t>
      </w:r>
    </w:p>
    <w:p w14:paraId="00AF5B2E" w14:textId="77777777" w:rsidR="008B5AE2" w:rsidRPr="00EF577A" w:rsidRDefault="008B5AE2" w:rsidP="008B5AE2">
      <w:pPr>
        <w:jc w:val="both"/>
        <w:rPr>
          <w:szCs w:val="22"/>
        </w:rPr>
      </w:pPr>
      <w:r w:rsidRPr="00EF577A">
        <w:rPr>
          <w:color w:val="000000"/>
          <w:szCs w:val="22"/>
        </w:rPr>
        <w:t xml:space="preserve">The validity of an online agreement depends on whether the user had actual or constructive notice of the website's terms. </w:t>
      </w:r>
      <w:r w:rsidRPr="00EF577A">
        <w:rPr>
          <w:i/>
          <w:color w:val="000000"/>
          <w:szCs w:val="22"/>
        </w:rPr>
        <w:t>See</w:t>
      </w:r>
      <w:r w:rsidRPr="00EF577A">
        <w:rPr>
          <w:color w:val="000000"/>
          <w:szCs w:val="22"/>
        </w:rPr>
        <w:t xml:space="preserve"> </w:t>
      </w:r>
      <w:hyperlink r:id="rId97" w:anchor="co_pp_sp_506_1177">
        <w:r w:rsidRPr="00EF577A">
          <w:rPr>
            <w:i/>
            <w:color w:val="0E568C"/>
            <w:szCs w:val="22"/>
          </w:rPr>
          <w:t>Nguyen</w:t>
        </w:r>
        <w:r w:rsidRPr="00EF577A">
          <w:rPr>
            <w:color w:val="0E568C"/>
            <w:szCs w:val="22"/>
          </w:rPr>
          <w:t>, 763 F.3d at 1177</w:t>
        </w:r>
      </w:hyperlink>
      <w:r w:rsidRPr="00EF577A">
        <w:rPr>
          <w:color w:val="000000"/>
          <w:szCs w:val="22"/>
        </w:rPr>
        <w:t xml:space="preserve">. “Unless the website operator can show that a consumer has actual knowledge of the agreement, an enforceable contract will be found based on an inquiry notice theory only if: (1) the website provides reasonably conspicuous notice of the terms to which the consumer will be bound; and (2) the consumer takes some action, such as clicking a button or checking a box, that unambiguously manifests his or her assent to those terms.” </w:t>
      </w:r>
      <w:hyperlink r:id="rId98" w:anchor="co_pp_sp_8173_856">
        <w:r w:rsidRPr="00EF577A">
          <w:rPr>
            <w:i/>
            <w:color w:val="0E568C"/>
            <w:szCs w:val="22"/>
          </w:rPr>
          <w:t>Berman</w:t>
        </w:r>
        <w:r w:rsidRPr="00EF577A">
          <w:rPr>
            <w:color w:val="0E568C"/>
            <w:szCs w:val="22"/>
          </w:rPr>
          <w:t>, 30 F.4th at 856</w:t>
        </w:r>
      </w:hyperlink>
      <w:r w:rsidRPr="00EF577A">
        <w:rPr>
          <w:color w:val="000000"/>
          <w:szCs w:val="22"/>
        </w:rPr>
        <w:t>.</w:t>
      </w:r>
    </w:p>
    <w:p w14:paraId="624993B4" w14:textId="77777777" w:rsidR="008B5AE2" w:rsidRPr="00EF577A" w:rsidRDefault="008B5AE2" w:rsidP="008B5AE2">
      <w:pPr>
        <w:jc w:val="both"/>
        <w:rPr>
          <w:szCs w:val="22"/>
        </w:rPr>
      </w:pPr>
      <w:r w:rsidRPr="00EF577A">
        <w:rPr>
          <w:color w:val="000000"/>
          <w:szCs w:val="22"/>
        </w:rPr>
        <w:t> </w:t>
      </w:r>
    </w:p>
    <w:p w14:paraId="3BB44FBC" w14:textId="77777777" w:rsidR="008B5AE2" w:rsidRPr="00EF577A" w:rsidRDefault="008B5AE2" w:rsidP="008B5AE2">
      <w:pPr>
        <w:jc w:val="both"/>
        <w:rPr>
          <w:szCs w:val="22"/>
        </w:rPr>
      </w:pPr>
      <w:r w:rsidRPr="00EF577A">
        <w:rPr>
          <w:color w:val="000000"/>
          <w:szCs w:val="22"/>
        </w:rPr>
        <w:t xml:space="preserve">Here, Plaintiff denies that he ever agreed to arbitrate, read any updated terms of service, or opened any emails from Defendant about these issues. Opp. at 2-3. Defendant explains that it had a policy of mass emailing its many subscribers about updated terms of service, </w:t>
      </w:r>
      <w:r w:rsidRPr="00EF577A">
        <w:rPr>
          <w:i/>
          <w:color w:val="000000"/>
          <w:szCs w:val="22"/>
        </w:rPr>
        <w:t>see</w:t>
      </w:r>
      <w:r w:rsidRPr="00EF577A">
        <w:rPr>
          <w:color w:val="000000"/>
          <w:szCs w:val="22"/>
        </w:rPr>
        <w:t xml:space="preserve"> </w:t>
      </w:r>
      <w:proofErr w:type="spellStart"/>
      <w:r w:rsidRPr="00EF577A">
        <w:rPr>
          <w:color w:val="000000"/>
          <w:szCs w:val="22"/>
        </w:rPr>
        <w:t>Dkt</w:t>
      </w:r>
      <w:proofErr w:type="spellEnd"/>
      <w:r w:rsidRPr="00EF577A">
        <w:rPr>
          <w:color w:val="000000"/>
          <w:szCs w:val="22"/>
        </w:rPr>
        <w:t>. No. 40-1 ¶ 7, but there is nothing in the record to suggest that Plaintiff saw or read the email, such as a read receipt reflecting that Plaintiff opened the email.</w:t>
      </w:r>
      <w:bookmarkStart w:id="109" w:name="co_fnRef_B00042056575165_ID0EWSAE_1"/>
      <w:r w:rsidRPr="00EF577A">
        <w:rPr>
          <w:szCs w:val="22"/>
        </w:rPr>
        <w:fldChar w:fldCharType="begin"/>
      </w:r>
      <w:r w:rsidRPr="00EF577A">
        <w:rPr>
          <w:szCs w:val="22"/>
        </w:rPr>
        <w:instrText xml:space="preserve"> HYPERLINK \l "co_footnote_B00042056575165_1" \h </w:instrText>
      </w:r>
      <w:r w:rsidRPr="00EF577A">
        <w:rPr>
          <w:szCs w:val="22"/>
        </w:rPr>
      </w:r>
      <w:r w:rsidRPr="00EF577A">
        <w:rPr>
          <w:szCs w:val="22"/>
        </w:rPr>
        <w:fldChar w:fldCharType="separate"/>
      </w:r>
      <w:r w:rsidRPr="00EF577A">
        <w:rPr>
          <w:color w:val="0E568C"/>
          <w:szCs w:val="22"/>
          <w:vertAlign w:val="superscript"/>
        </w:rPr>
        <w:t>4</w:t>
      </w:r>
      <w:r w:rsidRPr="00EF577A">
        <w:rPr>
          <w:color w:val="0E568C"/>
          <w:szCs w:val="22"/>
          <w:vertAlign w:val="superscript"/>
        </w:rPr>
        <w:fldChar w:fldCharType="end"/>
      </w:r>
      <w:bookmarkEnd w:id="109"/>
      <w:r w:rsidRPr="00EF577A">
        <w:rPr>
          <w:color w:val="000000"/>
          <w:szCs w:val="22"/>
        </w:rPr>
        <w:t xml:space="preserve"> The Court finds that Defendant has not shown by a preponderance of the evidence that Plaintiff had actual notice of the updated terms of service. </w:t>
      </w:r>
      <w:r w:rsidRPr="00EF577A">
        <w:rPr>
          <w:i/>
          <w:color w:val="000000"/>
          <w:szCs w:val="22"/>
        </w:rPr>
        <w:t>See</w:t>
      </w:r>
      <w:r w:rsidRPr="00EF577A">
        <w:rPr>
          <w:color w:val="000000"/>
          <w:szCs w:val="22"/>
        </w:rPr>
        <w:t xml:space="preserve"> </w:t>
      </w:r>
      <w:hyperlink r:id="rId99" w:anchor="co_pp_sp_506_1283">
        <w:r w:rsidRPr="00EF577A">
          <w:rPr>
            <w:i/>
            <w:color w:val="0E568C"/>
            <w:szCs w:val="22"/>
          </w:rPr>
          <w:t>Norcia, LLC</w:t>
        </w:r>
        <w:r w:rsidRPr="00EF577A">
          <w:rPr>
            <w:color w:val="0E568C"/>
            <w:szCs w:val="22"/>
          </w:rPr>
          <w:t>, 845 F.3d at 1283</w:t>
        </w:r>
      </w:hyperlink>
      <w:r w:rsidRPr="00EF577A">
        <w:rPr>
          <w:color w:val="000000"/>
          <w:szCs w:val="22"/>
        </w:rPr>
        <w:t>.</w:t>
      </w:r>
    </w:p>
    <w:p w14:paraId="0F63C175" w14:textId="77777777" w:rsidR="008B5AE2" w:rsidRPr="00EF577A" w:rsidRDefault="008B5AE2" w:rsidP="008B5AE2">
      <w:pPr>
        <w:jc w:val="both"/>
        <w:rPr>
          <w:szCs w:val="22"/>
        </w:rPr>
      </w:pPr>
      <w:r w:rsidRPr="00EF577A">
        <w:rPr>
          <w:color w:val="000000"/>
          <w:szCs w:val="22"/>
        </w:rPr>
        <w:t> </w:t>
      </w:r>
    </w:p>
    <w:p w14:paraId="01015709" w14:textId="77777777" w:rsidR="008B5AE2" w:rsidRPr="00EF577A" w:rsidRDefault="008B5AE2" w:rsidP="008B5AE2">
      <w:pPr>
        <w:jc w:val="both"/>
        <w:rPr>
          <w:szCs w:val="22"/>
        </w:rPr>
      </w:pPr>
      <w:r w:rsidRPr="00EF577A">
        <w:rPr>
          <w:color w:val="000000"/>
          <w:szCs w:val="22"/>
        </w:rPr>
        <w:lastRenderedPageBreak/>
        <w:t xml:space="preserve">To show that Plaintiff had inquiry notice, Defendant must show that he was provided reasonably conspicuous notice of the contract terms and unambiguously manifested his assent. </w:t>
      </w:r>
      <w:r w:rsidRPr="00EF577A">
        <w:rPr>
          <w:i/>
          <w:color w:val="000000"/>
          <w:szCs w:val="22"/>
        </w:rPr>
        <w:t>See</w:t>
      </w:r>
      <w:r w:rsidRPr="00EF577A">
        <w:rPr>
          <w:color w:val="000000"/>
          <w:szCs w:val="22"/>
        </w:rPr>
        <w:t xml:space="preserve"> </w:t>
      </w:r>
      <w:hyperlink r:id="rId100" w:anchor="co_pp_sp_8173_856">
        <w:r w:rsidRPr="00EF577A">
          <w:rPr>
            <w:i/>
            <w:color w:val="0E568C"/>
            <w:szCs w:val="22"/>
          </w:rPr>
          <w:t>Berman</w:t>
        </w:r>
        <w:r w:rsidRPr="00EF577A">
          <w:rPr>
            <w:color w:val="0E568C"/>
            <w:szCs w:val="22"/>
          </w:rPr>
          <w:t>, 30 F.4th at 856</w:t>
        </w:r>
      </w:hyperlink>
      <w:r w:rsidRPr="00EF577A">
        <w:rPr>
          <w:color w:val="000000"/>
          <w:szCs w:val="22"/>
        </w:rPr>
        <w:t>. “[O]</w:t>
      </w:r>
      <w:proofErr w:type="spellStart"/>
      <w:r w:rsidRPr="00EF577A">
        <w:rPr>
          <w:color w:val="000000"/>
          <w:szCs w:val="22"/>
        </w:rPr>
        <w:t>nline</w:t>
      </w:r>
      <w:proofErr w:type="spellEnd"/>
      <w:r w:rsidRPr="00EF577A">
        <w:rPr>
          <w:color w:val="000000"/>
          <w:szCs w:val="22"/>
        </w:rPr>
        <w:t xml:space="preserve"> providers have complete control over the design of their websites,” and therefore have the responsibility to put users on notice of the terms to which they wish to bind consumers. </w:t>
      </w:r>
      <w:hyperlink r:id="rId101" w:anchor="co_pp_sp_8173_857">
        <w:r w:rsidRPr="00EF577A">
          <w:rPr>
            <w:i/>
            <w:color w:val="0E568C"/>
            <w:szCs w:val="22"/>
          </w:rPr>
          <w:t>Id.</w:t>
        </w:r>
        <w:r w:rsidRPr="00EF577A">
          <w:rPr>
            <w:color w:val="0E568C"/>
            <w:szCs w:val="22"/>
          </w:rPr>
          <w:t xml:space="preserve"> at 857</w:t>
        </w:r>
      </w:hyperlink>
      <w:r w:rsidRPr="00EF577A">
        <w:rPr>
          <w:color w:val="000000"/>
          <w:szCs w:val="22"/>
        </w:rPr>
        <w:t xml:space="preserve"> (citations omitted). Defendant acknowledges that between 2011 and 2019 it modified its terms of service no less than twelve times, and contends that it sent an email to Plaintiff in 2014 explaining the addition of a mandatory arbitration clause. Reply at 9. There is nothing in the record to suggest that Plaintiff could not use the service until he indicated his assent, that he would have been advised of new terms and conditions while using Defendant's services, or that Defendant ever tracked whether Plaintiff had opened its email. Even if the email alone could be considered “reasonably conspicuous notice,” Plaintiff took no action to unambiguously manifest his assent. </w:t>
      </w:r>
      <w:r w:rsidRPr="00EF577A">
        <w:rPr>
          <w:i/>
          <w:color w:val="000000"/>
          <w:szCs w:val="22"/>
        </w:rPr>
        <w:t>See</w:t>
      </w:r>
      <w:r w:rsidRPr="00EF577A">
        <w:rPr>
          <w:color w:val="000000"/>
          <w:szCs w:val="22"/>
        </w:rPr>
        <w:t xml:space="preserve"> </w:t>
      </w:r>
      <w:hyperlink r:id="rId102" w:anchor="co_pp_sp_8173_856">
        <w:r w:rsidRPr="00EF577A">
          <w:rPr>
            <w:i/>
            <w:color w:val="0E568C"/>
            <w:szCs w:val="22"/>
          </w:rPr>
          <w:t>Berman</w:t>
        </w:r>
        <w:r w:rsidRPr="00EF577A">
          <w:rPr>
            <w:color w:val="0E568C"/>
            <w:szCs w:val="22"/>
          </w:rPr>
          <w:t>, 30 F.4th at 856</w:t>
        </w:r>
      </w:hyperlink>
      <w:r w:rsidRPr="00EF577A">
        <w:rPr>
          <w:color w:val="000000"/>
          <w:szCs w:val="22"/>
        </w:rPr>
        <w:t xml:space="preserve"> (requiring the consumer to “take[ ] some action, such as clicking a button or checking a box” in order to form an enforceable contract under inquiry notice theory).</w:t>
      </w:r>
    </w:p>
    <w:p w14:paraId="2B74AA38" w14:textId="77777777" w:rsidR="008B5AE2" w:rsidRPr="00EF577A" w:rsidRDefault="008B5AE2" w:rsidP="008B5AE2">
      <w:pPr>
        <w:jc w:val="both"/>
        <w:rPr>
          <w:szCs w:val="22"/>
        </w:rPr>
      </w:pPr>
      <w:r w:rsidRPr="00EF577A">
        <w:rPr>
          <w:color w:val="000000"/>
          <w:szCs w:val="22"/>
        </w:rPr>
        <w:t> </w:t>
      </w:r>
    </w:p>
    <w:p w14:paraId="35B2F7CB" w14:textId="77777777" w:rsidR="008B5AE2" w:rsidRPr="00EF577A" w:rsidRDefault="008B5AE2" w:rsidP="008B5AE2">
      <w:pPr>
        <w:jc w:val="both"/>
        <w:rPr>
          <w:szCs w:val="22"/>
        </w:rPr>
      </w:pPr>
      <w:r w:rsidRPr="00EF577A">
        <w:rPr>
          <w:color w:val="000000"/>
          <w:szCs w:val="22"/>
        </w:rPr>
        <w:t xml:space="preserve">Defendant essentially argues that it contracted for the right to change the terms at will because the 2011 TOS contains a provision stating that Defendant “may revise these Terms from time to time” and that continuing to use the service constitutes agreement to any revised terms. </w:t>
      </w:r>
      <w:r w:rsidRPr="00EF577A">
        <w:rPr>
          <w:i/>
          <w:color w:val="000000"/>
          <w:szCs w:val="22"/>
        </w:rPr>
        <w:t>See</w:t>
      </w:r>
      <w:r w:rsidRPr="00EF577A">
        <w:rPr>
          <w:color w:val="000000"/>
          <w:szCs w:val="22"/>
        </w:rPr>
        <w:t xml:space="preserve"> Reply at 6; </w:t>
      </w:r>
      <w:proofErr w:type="spellStart"/>
      <w:r w:rsidRPr="00EF577A">
        <w:rPr>
          <w:color w:val="000000"/>
          <w:szCs w:val="22"/>
        </w:rPr>
        <w:t>Dkt</w:t>
      </w:r>
      <w:proofErr w:type="spellEnd"/>
      <w:r w:rsidRPr="00EF577A">
        <w:rPr>
          <w:color w:val="000000"/>
          <w:szCs w:val="22"/>
        </w:rPr>
        <w:t xml:space="preserve">. No. 40-1 Exhibit E. Defendant's argument misses the point. Given the complete lack of evidence of notice within Defendant's service itself, Plaintiff's ongoing use of the service is irrelevant to determining whether he had actual or constructive notice of the post-2011 terms of service. Moreover, the 2011 TOS essentially disavows any obligation to alert Plaintiff to changes: “If a revision, in our sole discretion, is material we will notify you (for example via email to the email address associated with your account.”) </w:t>
      </w:r>
      <w:r w:rsidRPr="00EF577A">
        <w:rPr>
          <w:i/>
          <w:color w:val="000000"/>
          <w:szCs w:val="22"/>
        </w:rPr>
        <w:t>See</w:t>
      </w:r>
      <w:r w:rsidRPr="00EF577A">
        <w:rPr>
          <w:color w:val="000000"/>
          <w:szCs w:val="22"/>
        </w:rPr>
        <w:t xml:space="preserve"> </w:t>
      </w:r>
      <w:proofErr w:type="spellStart"/>
      <w:r w:rsidRPr="00EF577A">
        <w:rPr>
          <w:color w:val="000000"/>
          <w:szCs w:val="22"/>
        </w:rPr>
        <w:t>Dkt</w:t>
      </w:r>
      <w:proofErr w:type="spellEnd"/>
      <w:r w:rsidRPr="00EF577A">
        <w:rPr>
          <w:color w:val="000000"/>
          <w:szCs w:val="22"/>
        </w:rPr>
        <w:t>. No. 40-1 Exhibit E. But Ninth Circuit law is clear that it is a website owner's duty to show clear notice and assent.</w:t>
      </w:r>
    </w:p>
    <w:p w14:paraId="2DD8F6BC" w14:textId="77777777" w:rsidR="008B5AE2" w:rsidRPr="00EF577A" w:rsidRDefault="008B5AE2" w:rsidP="008B5AE2">
      <w:pPr>
        <w:jc w:val="both"/>
        <w:rPr>
          <w:szCs w:val="22"/>
        </w:rPr>
      </w:pPr>
      <w:r w:rsidRPr="00EF577A">
        <w:rPr>
          <w:color w:val="000000"/>
          <w:szCs w:val="22"/>
        </w:rPr>
        <w:t> </w:t>
      </w:r>
    </w:p>
    <w:p w14:paraId="777E4D21" w14:textId="77777777" w:rsidR="008B5AE2" w:rsidRPr="00EF577A" w:rsidRDefault="008B5AE2" w:rsidP="008B5AE2">
      <w:pPr>
        <w:jc w:val="both"/>
        <w:rPr>
          <w:szCs w:val="22"/>
        </w:rPr>
      </w:pPr>
      <w:r w:rsidRPr="00EF577A">
        <w:rPr>
          <w:color w:val="000000"/>
          <w:szCs w:val="22"/>
        </w:rPr>
        <w:t xml:space="preserve">The Court finds that Defendant has not shown by a preponderance of the evidence that Plaintiff had actual or inquiry notice of the updated terms of service. </w:t>
      </w:r>
      <w:r w:rsidRPr="00EF577A">
        <w:rPr>
          <w:i/>
          <w:color w:val="000000"/>
          <w:szCs w:val="22"/>
        </w:rPr>
        <w:t>See</w:t>
      </w:r>
      <w:r w:rsidRPr="00EF577A">
        <w:rPr>
          <w:color w:val="000000"/>
          <w:szCs w:val="22"/>
        </w:rPr>
        <w:t xml:space="preserve"> </w:t>
      </w:r>
      <w:hyperlink r:id="rId103" w:anchor="co_pp_sp_506_1283">
        <w:r w:rsidRPr="00EF577A">
          <w:rPr>
            <w:i/>
            <w:color w:val="0E568C"/>
            <w:szCs w:val="22"/>
          </w:rPr>
          <w:t>Norcia, LLC</w:t>
        </w:r>
        <w:r w:rsidRPr="00EF577A">
          <w:rPr>
            <w:color w:val="0E568C"/>
            <w:szCs w:val="22"/>
          </w:rPr>
          <w:t>, 845 F.3d at 1283</w:t>
        </w:r>
      </w:hyperlink>
      <w:r w:rsidRPr="00EF577A">
        <w:rPr>
          <w:color w:val="000000"/>
          <w:szCs w:val="22"/>
        </w:rPr>
        <w:t>. Without actual or inquiry notice, there was no manifestation of mutual assent, and the later terms of service do not impose an enforceable agreement to arbitrate.</w:t>
      </w:r>
    </w:p>
    <w:p w14:paraId="4361EC17" w14:textId="77777777" w:rsidR="008B5AE2" w:rsidRPr="00EF577A" w:rsidRDefault="008B5AE2" w:rsidP="008B5AE2">
      <w:pPr>
        <w:jc w:val="both"/>
        <w:rPr>
          <w:szCs w:val="22"/>
        </w:rPr>
      </w:pPr>
      <w:r w:rsidRPr="00EF577A">
        <w:rPr>
          <w:color w:val="000000"/>
          <w:szCs w:val="22"/>
        </w:rPr>
        <w:t> </w:t>
      </w:r>
    </w:p>
    <w:p w14:paraId="4BB3B5B1" w14:textId="77777777" w:rsidR="00F855B6" w:rsidRPr="00EF577A" w:rsidRDefault="00F855B6" w:rsidP="00F855B6">
      <w:pPr>
        <w:widowControl w:val="0"/>
        <w:autoSpaceDE w:val="0"/>
        <w:autoSpaceDN w:val="0"/>
        <w:adjustRightInd w:val="0"/>
        <w:jc w:val="both"/>
        <w:rPr>
          <w:color w:val="000000" w:themeColor="text1"/>
          <w:szCs w:val="22"/>
        </w:rPr>
      </w:pPr>
    </w:p>
    <w:p w14:paraId="484E1E38" w14:textId="77777777" w:rsidR="00F855B6" w:rsidRPr="00EF577A" w:rsidRDefault="00F855B6" w:rsidP="00F855B6">
      <w:pPr>
        <w:widowControl w:val="0"/>
        <w:autoSpaceDE w:val="0"/>
        <w:autoSpaceDN w:val="0"/>
        <w:adjustRightInd w:val="0"/>
        <w:jc w:val="both"/>
        <w:rPr>
          <w:color w:val="000000" w:themeColor="text1"/>
          <w:szCs w:val="22"/>
        </w:rPr>
      </w:pPr>
    </w:p>
    <w:p w14:paraId="77EA18CA" w14:textId="77777777" w:rsidR="00F855B6" w:rsidRPr="00EF577A" w:rsidRDefault="00F855B6" w:rsidP="00F855B6">
      <w:pPr>
        <w:widowControl w:val="0"/>
        <w:autoSpaceDE w:val="0"/>
        <w:autoSpaceDN w:val="0"/>
        <w:adjustRightInd w:val="0"/>
        <w:rPr>
          <w:rFonts w:cs="Arial"/>
          <w:color w:val="000000" w:themeColor="text1"/>
          <w:szCs w:val="22"/>
        </w:rPr>
      </w:pPr>
    </w:p>
    <w:p w14:paraId="71338731" w14:textId="674C99F3" w:rsidR="00CA0CF8" w:rsidRPr="00EF577A" w:rsidRDefault="00CA0CF8" w:rsidP="00CA0CF8">
      <w:pPr>
        <w:rPr>
          <w:color w:val="000000" w:themeColor="text1"/>
          <w:szCs w:val="22"/>
        </w:rPr>
      </w:pPr>
    </w:p>
    <w:p w14:paraId="7F2715A9" w14:textId="77777777" w:rsidR="00755981" w:rsidRPr="00EF577A" w:rsidRDefault="00755981" w:rsidP="00755981">
      <w:pPr>
        <w:rPr>
          <w:szCs w:val="22"/>
        </w:rPr>
      </w:pPr>
    </w:p>
    <w:p w14:paraId="1976FA4B" w14:textId="77777777" w:rsidR="00755981" w:rsidRPr="00EF577A" w:rsidRDefault="00755981" w:rsidP="00755981">
      <w:pPr>
        <w:widowControl w:val="0"/>
        <w:autoSpaceDE w:val="0"/>
        <w:autoSpaceDN w:val="0"/>
        <w:adjustRightInd w:val="0"/>
        <w:jc w:val="center"/>
        <w:outlineLvl w:val="0"/>
        <w:rPr>
          <w:color w:val="000000" w:themeColor="text1"/>
          <w:szCs w:val="22"/>
        </w:rPr>
      </w:pPr>
      <w:bookmarkStart w:id="110" w:name="_Toc33081440"/>
      <w:bookmarkStart w:id="111" w:name="_Toc57545207"/>
      <w:bookmarkStart w:id="112" w:name="_Toc186019890"/>
      <w:r w:rsidRPr="00EF577A">
        <w:rPr>
          <w:color w:val="000000" w:themeColor="text1"/>
          <w:szCs w:val="22"/>
        </w:rPr>
        <w:t>Badie v. Bank of America</w:t>
      </w:r>
      <w:bookmarkEnd w:id="110"/>
      <w:bookmarkEnd w:id="111"/>
      <w:bookmarkEnd w:id="112"/>
    </w:p>
    <w:p w14:paraId="046CD981" w14:textId="77777777" w:rsidR="00755981" w:rsidRPr="00EF577A" w:rsidRDefault="00755981" w:rsidP="00755981">
      <w:pPr>
        <w:widowControl w:val="0"/>
        <w:autoSpaceDE w:val="0"/>
        <w:autoSpaceDN w:val="0"/>
        <w:adjustRightInd w:val="0"/>
        <w:jc w:val="center"/>
        <w:rPr>
          <w:color w:val="000000" w:themeColor="text1"/>
          <w:szCs w:val="22"/>
        </w:rPr>
      </w:pPr>
      <w:r w:rsidRPr="00EF577A">
        <w:rPr>
          <w:color w:val="000000" w:themeColor="text1"/>
          <w:szCs w:val="22"/>
        </w:rPr>
        <w:t>67 Cal.App.4th 779 (1998)</w:t>
      </w:r>
    </w:p>
    <w:p w14:paraId="5EE0DD90" w14:textId="77777777" w:rsidR="00755981" w:rsidRPr="00EF577A" w:rsidRDefault="00755981" w:rsidP="00755981">
      <w:pPr>
        <w:widowControl w:val="0"/>
        <w:autoSpaceDE w:val="0"/>
        <w:autoSpaceDN w:val="0"/>
        <w:adjustRightInd w:val="0"/>
        <w:rPr>
          <w:color w:val="000000" w:themeColor="text1"/>
          <w:szCs w:val="22"/>
        </w:rPr>
      </w:pPr>
    </w:p>
    <w:p w14:paraId="73A0C3E3" w14:textId="77777777" w:rsidR="00755981" w:rsidRPr="00EF577A" w:rsidRDefault="00755981" w:rsidP="00755981">
      <w:pPr>
        <w:widowControl w:val="0"/>
        <w:autoSpaceDE w:val="0"/>
        <w:autoSpaceDN w:val="0"/>
        <w:adjustRightInd w:val="0"/>
        <w:rPr>
          <w:color w:val="000000" w:themeColor="text1"/>
          <w:szCs w:val="22"/>
        </w:rPr>
      </w:pPr>
      <w:r w:rsidRPr="00EF577A">
        <w:rPr>
          <w:bCs/>
          <w:color w:val="000000" w:themeColor="text1"/>
          <w:szCs w:val="22"/>
        </w:rPr>
        <w:t>PHELAN, P. J.</w:t>
      </w:r>
    </w:p>
    <w:p w14:paraId="7987CEDA" w14:textId="77777777" w:rsidR="00755981" w:rsidRPr="00EF577A" w:rsidRDefault="00755981" w:rsidP="00755981">
      <w:pPr>
        <w:widowControl w:val="0"/>
        <w:autoSpaceDE w:val="0"/>
        <w:autoSpaceDN w:val="0"/>
        <w:adjustRightInd w:val="0"/>
        <w:rPr>
          <w:color w:val="000000" w:themeColor="text1"/>
          <w:szCs w:val="22"/>
        </w:rPr>
      </w:pPr>
    </w:p>
    <w:p w14:paraId="6A1776E8"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 . . </w:t>
      </w:r>
    </w:p>
    <w:p w14:paraId="213989E9" w14:textId="77777777" w:rsidR="00755981" w:rsidRPr="00EF577A" w:rsidRDefault="00755981" w:rsidP="00755981">
      <w:pPr>
        <w:widowControl w:val="0"/>
        <w:autoSpaceDE w:val="0"/>
        <w:autoSpaceDN w:val="0"/>
        <w:adjustRightInd w:val="0"/>
        <w:rPr>
          <w:color w:val="000000" w:themeColor="text1"/>
          <w:szCs w:val="22"/>
        </w:rPr>
      </w:pPr>
    </w:p>
    <w:p w14:paraId="376C6B23" w14:textId="77777777" w:rsidR="00755981" w:rsidRPr="00EF577A" w:rsidRDefault="00755981" w:rsidP="00755981">
      <w:pPr>
        <w:widowControl w:val="0"/>
        <w:autoSpaceDE w:val="0"/>
        <w:autoSpaceDN w:val="0"/>
        <w:adjustRightInd w:val="0"/>
        <w:rPr>
          <w:color w:val="000000" w:themeColor="text1"/>
          <w:szCs w:val="22"/>
        </w:rPr>
      </w:pPr>
      <w:r w:rsidRPr="00EF577A">
        <w:rPr>
          <w:i/>
          <w:iCs/>
          <w:color w:val="000000" w:themeColor="text1"/>
          <w:szCs w:val="22"/>
        </w:rPr>
        <w:t>Perdue</w:t>
      </w:r>
      <w:r w:rsidRPr="00EF577A">
        <w:rPr>
          <w:color w:val="000000" w:themeColor="text1"/>
          <w:szCs w:val="22"/>
        </w:rPr>
        <w:t xml:space="preserve"> [Perdue v. Crocker National Bank, see above] does . . . underscore the importance of the duty imposed on one having the discretionary power to affect the rights of the </w:t>
      </w:r>
      <w:r w:rsidRPr="00EF577A">
        <w:rPr>
          <w:color w:val="000000" w:themeColor="text1"/>
          <w:szCs w:val="22"/>
        </w:rPr>
        <w:lastRenderedPageBreak/>
        <w:t xml:space="preserve">other party to exercise that power in a manner consistent with the covenant of good faith and fair dealing. Abuse of the power to specify terms is one of the judicially recognized types of bad faith. While </w:t>
      </w:r>
      <w:r w:rsidRPr="00EF577A">
        <w:rPr>
          <w:i/>
          <w:iCs/>
          <w:color w:val="000000" w:themeColor="text1"/>
          <w:szCs w:val="22"/>
        </w:rPr>
        <w:t>Perdue</w:t>
      </w:r>
      <w:r w:rsidRPr="00EF577A">
        <w:rPr>
          <w:color w:val="000000" w:themeColor="text1"/>
          <w:szCs w:val="22"/>
        </w:rPr>
        <w:t xml:space="preserve"> indicated that the bank's increase in NSF check fees was to be evaluated under the “... duty of good faith and fair dealing in setting or varying such charges”, other cases make it clear that the </w:t>
      </w:r>
      <w:r w:rsidRPr="00EF577A">
        <w:rPr>
          <w:i/>
          <w:iCs/>
          <w:color w:val="000000" w:themeColor="text1"/>
          <w:szCs w:val="22"/>
        </w:rPr>
        <w:t>exercise</w:t>
      </w:r>
      <w:r w:rsidRPr="00EF577A">
        <w:rPr>
          <w:color w:val="000000" w:themeColor="text1"/>
          <w:szCs w:val="22"/>
        </w:rPr>
        <w:t xml:space="preserve"> of discretionary powers conferred on a party by contract must also be evaluated under the implied covenant to assure that the promises of the contract are effective and in accordance with the parties' legitimate expectations . . . Thus, the trial court's conclusion that the Bank's modification of the account agreements satisfied the covenant of good faith and fair dealing because “[t]he ADR clause does not operate to deprive the customer of expected or bargained-for benefits of his or her agreement” does not withstand scrutiny. The court's focus on the ADR clause, standing alone, was misplaced: It is the Bank's exercise of its discretionary right to change the agreement, not the ADR clause in and of itself, which must first be analyzed in terms of the implied covenant. If the Bank's performance under the change of terms provision was not consonant with the duty of good faith and fair dealing, then whether the ADR clause, considered in isolation, satisfies the implied covenant makes no difference.</w:t>
      </w:r>
    </w:p>
    <w:p w14:paraId="55570018"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“The essence of the good faith covenant is objectively reasonable conduct.” (</w:t>
      </w:r>
      <w:r w:rsidRPr="00EF577A">
        <w:rPr>
          <w:i/>
          <w:iCs/>
          <w:color w:val="000000" w:themeColor="text1"/>
          <w:szCs w:val="22"/>
        </w:rPr>
        <w:t>Lazar v. Hertz Corp.</w:t>
      </w:r>
      <w:r w:rsidRPr="00EF577A">
        <w:rPr>
          <w:color w:val="000000" w:themeColor="text1"/>
          <w:szCs w:val="22"/>
        </w:rPr>
        <w:t xml:space="preserve"> (1983) 143 Cal.App.3d) “[T]</w:t>
      </w:r>
      <w:proofErr w:type="gramStart"/>
      <w:r w:rsidRPr="00EF577A">
        <w:rPr>
          <w:color w:val="000000" w:themeColor="text1"/>
          <w:szCs w:val="22"/>
        </w:rPr>
        <w:t>he</w:t>
      </w:r>
      <w:proofErr w:type="gramEnd"/>
      <w:r w:rsidRPr="00EF577A">
        <w:rPr>
          <w:color w:val="000000" w:themeColor="text1"/>
          <w:szCs w:val="22"/>
        </w:rPr>
        <w:t xml:space="preserve"> covenant of good faith can be breached for objectively unreasonable conduct, regardless of the actor's motive.” (</w:t>
      </w:r>
      <w:r w:rsidRPr="00EF577A">
        <w:rPr>
          <w:i/>
          <w:iCs/>
          <w:color w:val="000000" w:themeColor="text1"/>
          <w:szCs w:val="22"/>
        </w:rPr>
        <w:t>Carma Developers (Cal.), Inc. v. Marathon Development California, Inc.</w:t>
      </w:r>
      <w:r w:rsidRPr="00EF577A">
        <w:rPr>
          <w:color w:val="000000" w:themeColor="text1"/>
          <w:szCs w:val="22"/>
        </w:rPr>
        <w:t xml:space="preserve">, 2 Cal.4th at p. 373.) One commentor has suggested that good faith performance of the discretionary power to affect the other party's rights requires the party holding such power to exercise it “for any purpose within the reasonable contemplation of the parties at the time of [contract] formation-to capture opportunities that were preserved upon entering the contract, interpreted objectively,” and that, conversely, breach of the covenant occurs when the discretionary power is used to “recapture opportunities foregone” when the contract was entered into. (Burton, </w:t>
      </w:r>
      <w:r w:rsidRPr="00EF577A">
        <w:rPr>
          <w:i/>
          <w:iCs/>
          <w:color w:val="000000" w:themeColor="text1"/>
          <w:szCs w:val="22"/>
        </w:rPr>
        <w:t>Breach of Contract and the Common Law Duty to Perform in Good Faith</w:t>
      </w:r>
      <w:r w:rsidRPr="00EF577A">
        <w:rPr>
          <w:color w:val="000000" w:themeColor="text1"/>
          <w:szCs w:val="22"/>
        </w:rPr>
        <w:t xml:space="preserve"> (1980) 94 </w:t>
      </w:r>
      <w:proofErr w:type="spellStart"/>
      <w:r w:rsidRPr="00EF577A">
        <w:rPr>
          <w:color w:val="000000" w:themeColor="text1"/>
          <w:szCs w:val="22"/>
        </w:rPr>
        <w:t>Harv.L.Rev</w:t>
      </w:r>
      <w:proofErr w:type="spellEnd"/>
      <w:r w:rsidRPr="00EF577A">
        <w:rPr>
          <w:color w:val="000000" w:themeColor="text1"/>
          <w:szCs w:val="22"/>
        </w:rPr>
        <w:t>. 369, 373, fn. omitted, 387) Where, as in this case, a party has the unilateral right to change the terms of a contract, it does not act in an “objectively reasonable” manner (</w:t>
      </w:r>
      <w:r w:rsidRPr="00EF577A">
        <w:rPr>
          <w:i/>
          <w:iCs/>
          <w:color w:val="000000" w:themeColor="text1"/>
          <w:szCs w:val="22"/>
        </w:rPr>
        <w:t>Lazar v. Hertz Corp.</w:t>
      </w:r>
      <w:r w:rsidRPr="00EF577A">
        <w:rPr>
          <w:color w:val="000000" w:themeColor="text1"/>
          <w:szCs w:val="22"/>
        </w:rPr>
        <w:t xml:space="preserve">, </w:t>
      </w:r>
      <w:r w:rsidRPr="00EF577A">
        <w:rPr>
          <w:i/>
          <w:iCs/>
          <w:color w:val="000000" w:themeColor="text1"/>
          <w:szCs w:val="22"/>
        </w:rPr>
        <w:t>supra</w:t>
      </w:r>
      <w:r w:rsidRPr="00EF577A">
        <w:rPr>
          <w:color w:val="000000" w:themeColor="text1"/>
          <w:szCs w:val="22"/>
        </w:rPr>
        <w:t>, 143 Cal.App.3d at p. 141) when it attempts to “recapture” a forgone opportunity by adding an entirely new term which has no bearing on any subject, issue, right, or obligation addressed in the original contract and which was not within the reasonable contemplation of the parties when the contract was entered into. That is particularly true where the new term deprives the other party of the right to a jury trial and the right to select a judicial forum for dispute resolution.</w:t>
      </w:r>
    </w:p>
    <w:p w14:paraId="05AB8585"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Here, the Bank reserved to itself the unilateral and nonnegotiable right to vary every aspect of the performance required by the parties to the account agreements. The Bank's interpretation of how broadly it may exercise that right, with no limitation on the substantive nature of the changes it may make as long as it complies with the de minimis procedural requirement of “notice,” virtually eliminates the good faith and fair dealing requirement from the Bank's relationship with its credit account customers, and is thus antithetical to </w:t>
      </w:r>
      <w:r w:rsidRPr="00EF577A">
        <w:rPr>
          <w:i/>
          <w:iCs/>
          <w:color w:val="000000" w:themeColor="text1"/>
          <w:szCs w:val="22"/>
        </w:rPr>
        <w:t>Perdue</w:t>
      </w:r>
      <w:r w:rsidRPr="00EF577A">
        <w:rPr>
          <w:color w:val="000000" w:themeColor="text1"/>
          <w:szCs w:val="22"/>
        </w:rPr>
        <w:t xml:space="preserve">, not consistent with it, as the Bank claims. In short, we conclude the trial court erred in deciding that the implied covenant of good faith and fair dealing had been satisfied by the Bank in its performance under the change of terms provision. </w:t>
      </w:r>
    </w:p>
    <w:p w14:paraId="202DE8E7"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Moreover, permitting the Bank to exercise its unilateral rights under the change of terms provision, without any limitation on the substantive nature of the change permitted, would open the door to a claim that the agreements are illusory. As a general rule, </w:t>
      </w:r>
      <w:proofErr w:type="gramStart"/>
      <w:r w:rsidRPr="00EF577A">
        <w:rPr>
          <w:color w:val="000000" w:themeColor="text1"/>
          <w:szCs w:val="22"/>
        </w:rPr>
        <w:t>“ '</w:t>
      </w:r>
      <w:proofErr w:type="gramEnd"/>
      <w:r w:rsidRPr="00EF577A">
        <w:rPr>
          <w:color w:val="000000" w:themeColor="text1"/>
          <w:szCs w:val="22"/>
        </w:rPr>
        <w:t xml:space="preserve">[a]n </w:t>
      </w:r>
      <w:r w:rsidRPr="00EF577A">
        <w:rPr>
          <w:color w:val="000000" w:themeColor="text1"/>
          <w:szCs w:val="22"/>
        </w:rPr>
        <w:lastRenderedPageBreak/>
        <w:t>agreement that provides that the price to be paid, or other performance to be rendered, shall be left to the will and discretion of one of the parties is not enforceable.... But the fact that one of the parties reserves the power of varying the price or other performance is not fatal [i.e., does not render the contract illusory and unenforceable] if the exercise of this power is subject to prescribed or implied limitations, as that the variation must be in proportion to some objectively determined base or must be reasonable.</w:t>
      </w:r>
      <w:proofErr w:type="gramStart"/>
      <w:r w:rsidRPr="00EF577A">
        <w:rPr>
          <w:color w:val="000000" w:themeColor="text1"/>
          <w:szCs w:val="22"/>
        </w:rPr>
        <w:t>' ”</w:t>
      </w:r>
      <w:proofErr w:type="gramEnd"/>
      <w:r w:rsidRPr="00EF577A">
        <w:rPr>
          <w:color w:val="000000" w:themeColor="text1"/>
          <w:szCs w:val="22"/>
        </w:rPr>
        <w:t xml:space="preserve"> (</w:t>
      </w:r>
      <w:r w:rsidRPr="00EF577A">
        <w:rPr>
          <w:i/>
          <w:iCs/>
          <w:color w:val="000000" w:themeColor="text1"/>
          <w:szCs w:val="22"/>
        </w:rPr>
        <w:t>Automatic Vending Co. v. Wisdom</w:t>
      </w:r>
      <w:r w:rsidRPr="00EF577A">
        <w:rPr>
          <w:color w:val="000000" w:themeColor="text1"/>
          <w:szCs w:val="22"/>
        </w:rPr>
        <w:t xml:space="preserve"> (1960) 182 Cal.App.2d 354, 357) (3c) Here, the “objectively determined base” which, in addition to the implied covenant of good faith and fair dealing, supplies an implied limitation on the change of term provision is the universe of terms included in the original agreements. As we will later conclude, the ADR provision is not in that universe.</w:t>
      </w:r>
    </w:p>
    <w:p w14:paraId="1C4CB87E"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Thus, we return to our starting point: What did the Bank's customers consent to when they agreed that the Bank could unilaterally change the terms of their account agreements? </w:t>
      </w:r>
    </w:p>
    <w:p w14:paraId="464E73B1" w14:textId="77777777" w:rsidR="00755981" w:rsidRPr="00EF577A" w:rsidRDefault="00755981" w:rsidP="00755981">
      <w:pPr>
        <w:widowControl w:val="0"/>
        <w:autoSpaceDE w:val="0"/>
        <w:autoSpaceDN w:val="0"/>
        <w:adjustRightInd w:val="0"/>
        <w:rPr>
          <w:color w:val="000000" w:themeColor="text1"/>
          <w:szCs w:val="22"/>
        </w:rPr>
      </w:pPr>
    </w:p>
    <w:p w14:paraId="4AB936CD"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 . . without a threshold determination of what the parties intended when they agreed that the Bank could change the “terms” of the account agreement, the validity of the ADR clause cannot be properly assessed. In order to make that determination, we must apply the standard statutory rules of contract interpretation in order to ascertain the mutual intention of the parties as it existed at the time the original account agreements were entered into. </w:t>
      </w:r>
    </w:p>
    <w:p w14:paraId="3E7826B9" w14:textId="77777777" w:rsidR="00755981" w:rsidRPr="00EF577A" w:rsidRDefault="00755981" w:rsidP="00755981">
      <w:pPr>
        <w:widowControl w:val="0"/>
        <w:autoSpaceDE w:val="0"/>
        <w:autoSpaceDN w:val="0"/>
        <w:adjustRightInd w:val="0"/>
        <w:rPr>
          <w:color w:val="000000" w:themeColor="text1"/>
          <w:szCs w:val="22"/>
        </w:rPr>
      </w:pPr>
    </w:p>
    <w:p w14:paraId="22724F4A"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3. </w:t>
      </w:r>
      <w:r w:rsidRPr="00EF577A">
        <w:rPr>
          <w:i/>
          <w:iCs/>
          <w:color w:val="000000" w:themeColor="text1"/>
          <w:szCs w:val="22"/>
        </w:rPr>
        <w:t>Application of the Standard Rules of Contract Interpretation Demonstrates That the Customers' Consent to Allow the Bank to Change the Terms of the Credit Account Agreement Did Not Constitute Consent to Addition of an ADR Clause by a Unilateral Notice.</w:t>
      </w:r>
    </w:p>
    <w:p w14:paraId="165899AF"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When a dispute arises over the meaning of contract language, the court must decide whether the language is “reasonably susceptible” to the interpretations urged by the parties . . .</w:t>
      </w:r>
    </w:p>
    <w:p w14:paraId="600C9335"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 . As noted, the Bank contends the change of terms provision authorizes any modification whatsoever, as long as the procedure set forth in the account agreements is followed, while plaintiffs contend there are substantive limitations on the kinds of changes authorized by the provision. We first address the language of the credit account agreement itself to determine whether it is reasonably susceptible to either or both of these competing interpretations.</w:t>
      </w:r>
    </w:p>
    <w:p w14:paraId="5D7840C7"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Customers who opened a credit account with the Bank first encountered the change of terms provision in either the credit card application or the “Acceptance Certificate” included in a direct mail solicitation. The only “terms” actually set forth in these documents pertain to percentage rates for purchases, various fees, the method of computing balances, and the grace period. However, the application and acceptance certificate also indicated that by signing, the applicant agreed to be bound by the “terms and conditions of the agreement and disclosure statement” that would be sent to the applicant with his cards.</w:t>
      </w:r>
    </w:p>
    <w:p w14:paraId="6959FB0A"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The credit account agreement and disclosure statements admitted into evidence at trial are all pamphlets about seven pages long. As we have pointed out, they set forth detailed information about purchases and cash advances, credit limits, finance charges, membership fees, late charges and other fees, calculation of balances and finance charges, payments, and the procedure for notifying the Bank of suspected errors on the bill as well as </w:t>
      </w:r>
      <w:r w:rsidRPr="00EF577A">
        <w:rPr>
          <w:color w:val="000000" w:themeColor="text1"/>
          <w:szCs w:val="22"/>
        </w:rPr>
        <w:lastRenderedPageBreak/>
        <w:t>the Bank's obligations in the event a suspected error is reported. Also included in each agreement is a section headed “Other Important Information.” It recites that the Bank does not have a security interest in purchases charged to the card or other property belonging to the customer, that the Bank requires the customer to sign the card upon receipt, that notices will be sent only to the first person listed on the account, that the customer must inform the Bank of changes in personal information and must report lost or stolen cards, that payment must be made in United States currency, that the customer may apply for credit insurance, that the Bank provides information to outside merchants for promotional offers, that the Bank may obtain and release credit information regarding the customer, that the Bank may close an account at any time or suspend credit privileges, that the Bank does not waive its right to full payment by accepting checks or letters marked “payment in full,” that customers' telephone conversations with the Bank may be monitored, that the agreement is covered by California law and applicable federal law, and also describes foreign currency transactions and what constitutes default. Also included, about two-thirds of the way into the “Other Important Terms” section, is the “Change of Terms” provision, which states that the Bank may change any “term, condition, service or feature” of a customer's credit account. Importantly, no “term, condition, service, or feature” in the original credit account agreement addressed the method or forum for resolving legal claims related to customer accounts.</w:t>
      </w:r>
    </w:p>
    <w:p w14:paraId="3C00AC4A"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Based solely on the language of the credit account agreement, we cannot conclude that either party's interpretation of the change of terms provision is clearly untenable. Although the Bank's interpretation is supported by the fact that the change of terms provision is broadly worded and contains no express limitation on its application, plaintiffs' narrower interpretation is supported by the fact that all the terms, conditions, services and features discussed in the original agreements pertain to matters that are integral to the Bank/creditor relationship, whereas the method and forum for dispute resolution-a matter which is collateral to that relationship-is not discussed at all.</w:t>
      </w:r>
    </w:p>
    <w:p w14:paraId="00DE5DD1"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 . .  As discussed above, the change of terms provision is employed in the context of consumer credit agreements between the Bank and its customers. All the provisions of the original credit account agreements concerned matters that were integral to that relationship. In this context, there is nothing about the original terms that would have alerted a customer to the possibility that the Bank might one day in the future invoke the change of terms provision to add a clause that would allow it to </w:t>
      </w:r>
      <w:r w:rsidRPr="00EF577A">
        <w:rPr>
          <w:i/>
          <w:iCs/>
          <w:color w:val="000000" w:themeColor="text1"/>
          <w:szCs w:val="22"/>
        </w:rPr>
        <w:t>impose</w:t>
      </w:r>
      <w:r w:rsidRPr="00EF577A">
        <w:rPr>
          <w:color w:val="000000" w:themeColor="text1"/>
          <w:szCs w:val="22"/>
        </w:rPr>
        <w:t xml:space="preserve"> ADR on the customer</w:t>
      </w:r>
      <w:proofErr w:type="gramStart"/>
      <w:r w:rsidRPr="00EF577A">
        <w:rPr>
          <w:color w:val="000000" w:themeColor="text1"/>
          <w:szCs w:val="22"/>
        </w:rPr>
        <w:t>. . . .</w:t>
      </w:r>
      <w:proofErr w:type="gramEnd"/>
    </w:p>
    <w:p w14:paraId="6DC1C09D"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Our focus is on whether the words of the original account agreements mean that the Bank's customers, by agreeing to a unilateral change of terms provision, intended to give the Bank the power in the future to terminate its customers' existing right to have disputes resolved in the civil justice system, including their constitutionally based right to a jury trial. In our view, the object, nature and subject matter of these agreements strongly support the conclusion that the customers did not so intend, and that they, as promisors with respect to the change of terms provision, had no inkling that the Bank understood the provision differently. In short, the original agreements do not suggest that ADR was one of “those things concerning which ... the parties intended to contract” (Civ. Code, § 1648). </w:t>
      </w:r>
    </w:p>
    <w:p w14:paraId="3D072EE3"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 . Further, . . . we resort to the rule that ambiguous contract language must be interpreted most strongly against the party who prepared it (Civ. Code, § 1654), a rule that applies with particular force to the interpretation of contracts of adhesion, like the account agreements here</w:t>
      </w:r>
      <w:proofErr w:type="gramStart"/>
      <w:r w:rsidRPr="00EF577A">
        <w:rPr>
          <w:color w:val="000000" w:themeColor="text1"/>
          <w:szCs w:val="22"/>
        </w:rPr>
        <w:t>. . . .</w:t>
      </w:r>
      <w:proofErr w:type="gramEnd"/>
      <w:r w:rsidRPr="00EF577A">
        <w:rPr>
          <w:color w:val="000000" w:themeColor="text1"/>
          <w:szCs w:val="22"/>
        </w:rPr>
        <w:t xml:space="preserve">  Application of this rule strengthens our conviction that the parties </w:t>
      </w:r>
      <w:r w:rsidRPr="00EF577A">
        <w:rPr>
          <w:color w:val="000000" w:themeColor="text1"/>
          <w:szCs w:val="22"/>
        </w:rPr>
        <w:lastRenderedPageBreak/>
        <w:t xml:space="preserve">did not intend that the change of terms provision should permit the Bank to add new contract terms that differ </w:t>
      </w:r>
      <w:r w:rsidRPr="00EF577A">
        <w:rPr>
          <w:i/>
          <w:iCs/>
          <w:color w:val="000000" w:themeColor="text1"/>
          <w:szCs w:val="22"/>
        </w:rPr>
        <w:t>in kind</w:t>
      </w:r>
      <w:r w:rsidRPr="00EF577A">
        <w:rPr>
          <w:color w:val="000000" w:themeColor="text1"/>
          <w:szCs w:val="22"/>
        </w:rPr>
        <w:t xml:space="preserve"> from the terms and conditions included in the original agreements.</w:t>
      </w:r>
    </w:p>
    <w:p w14:paraId="579E9667"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xml:space="preserve">To reach the contrary conclusion, i.e., that the original account agreements </w:t>
      </w:r>
      <w:r w:rsidRPr="00EF577A">
        <w:rPr>
          <w:i/>
          <w:iCs/>
          <w:color w:val="000000" w:themeColor="text1"/>
          <w:szCs w:val="22"/>
        </w:rPr>
        <w:t>did</w:t>
      </w:r>
      <w:r w:rsidRPr="00EF577A">
        <w:rPr>
          <w:color w:val="000000" w:themeColor="text1"/>
          <w:szCs w:val="22"/>
        </w:rPr>
        <w:t xml:space="preserve"> authorize addition of the ADR clause, we would have to assume that by agreeing to the change of terms provision, the Bank's customers intended to permit a modification that would amount to waiver of their constitutionally based right to a jury trial (Cal. Const., art. I, § 16). In order to be enforceable, a contractual waiver of the right to a jury trial “must be clearly apparent in the contract and its language must be unambiguous and unequivocal, leaving no room for doubt as to the intention of the parties.” (</w:t>
      </w:r>
      <w:proofErr w:type="spellStart"/>
      <w:r w:rsidRPr="00EF577A">
        <w:rPr>
          <w:i/>
          <w:iCs/>
          <w:color w:val="000000" w:themeColor="text1"/>
          <w:szCs w:val="22"/>
        </w:rPr>
        <w:t>Trizec</w:t>
      </w:r>
      <w:proofErr w:type="spellEnd"/>
      <w:r w:rsidRPr="00EF577A">
        <w:rPr>
          <w:i/>
          <w:iCs/>
          <w:color w:val="000000" w:themeColor="text1"/>
          <w:szCs w:val="22"/>
        </w:rPr>
        <w:t xml:space="preserve"> Properties, Inc. v. Superior Court</w:t>
      </w:r>
      <w:r w:rsidRPr="00EF577A">
        <w:rPr>
          <w:color w:val="000000" w:themeColor="text1"/>
          <w:szCs w:val="22"/>
        </w:rPr>
        <w:t xml:space="preserve"> (1991) 229 Cal.App.3d 1616, 1619 [280 </w:t>
      </w:r>
      <w:proofErr w:type="spellStart"/>
      <w:r w:rsidRPr="00EF577A">
        <w:rPr>
          <w:color w:val="000000" w:themeColor="text1"/>
          <w:szCs w:val="22"/>
        </w:rPr>
        <w:t>Cal.Rptr</w:t>
      </w:r>
      <w:proofErr w:type="spellEnd"/>
      <w:r w:rsidRPr="00EF577A">
        <w:rPr>
          <w:color w:val="000000" w:themeColor="text1"/>
          <w:szCs w:val="22"/>
        </w:rPr>
        <w:t xml:space="preserve">. 885].) Although an effective waiver, particularly in a </w:t>
      </w:r>
      <w:proofErr w:type="spellStart"/>
      <w:r w:rsidRPr="00EF577A">
        <w:rPr>
          <w:color w:val="000000" w:themeColor="text1"/>
          <w:szCs w:val="22"/>
        </w:rPr>
        <w:t>nonadhesive</w:t>
      </w:r>
      <w:proofErr w:type="spellEnd"/>
      <w:r w:rsidRPr="00EF577A">
        <w:rPr>
          <w:color w:val="000000" w:themeColor="text1"/>
          <w:szCs w:val="22"/>
        </w:rPr>
        <w:t xml:space="preserve"> contract, need not expressly state, “I waive my right to a jury trial” or words to that effect, it must clearly and unambiguously show that the party has agreed to resolve disputes in a forum </w:t>
      </w:r>
      <w:r w:rsidRPr="00EF577A">
        <w:rPr>
          <w:i/>
          <w:iCs/>
          <w:color w:val="000000" w:themeColor="text1"/>
          <w:szCs w:val="22"/>
        </w:rPr>
        <w:t>other than</w:t>
      </w:r>
      <w:r w:rsidRPr="00EF577A">
        <w:rPr>
          <w:color w:val="000000" w:themeColor="text1"/>
          <w:szCs w:val="22"/>
        </w:rPr>
        <w:t xml:space="preserve"> the judicial one, which is the only forum in which disputes are resolved by juries . . . Where it is doubtful whether a party has waived his or her constitutionally protected right to a jury trial, the question should be resolved in favor of preserving that right. </w:t>
      </w:r>
    </w:p>
    <w:p w14:paraId="79FCC262"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 . .</w:t>
      </w:r>
    </w:p>
    <w:p w14:paraId="70BA290D"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Disposition</w:t>
      </w:r>
    </w:p>
    <w:p w14:paraId="30C5D6E1" w14:textId="77777777" w:rsidR="00755981" w:rsidRPr="00EF577A" w:rsidRDefault="00755981" w:rsidP="00755981">
      <w:pPr>
        <w:widowControl w:val="0"/>
        <w:autoSpaceDE w:val="0"/>
        <w:autoSpaceDN w:val="0"/>
        <w:adjustRightInd w:val="0"/>
        <w:rPr>
          <w:color w:val="000000" w:themeColor="text1"/>
          <w:szCs w:val="22"/>
        </w:rPr>
      </w:pPr>
      <w:r w:rsidRPr="00EF577A">
        <w:rPr>
          <w:color w:val="000000" w:themeColor="text1"/>
          <w:szCs w:val="22"/>
        </w:rPr>
        <w:t>The judgment entered in favor of the Bank on the plaintiffs' third cause of action with respect to the validity and enforceability of the ADR clause is reversed. That clause is not a part of the Bank's contract with the four individual plaintiffs here and may not be enforced against them. The judgment is affirmed in all other respects. Costs are awarded to the individual appellants.</w:t>
      </w:r>
    </w:p>
    <w:p w14:paraId="30D132A8" w14:textId="77777777" w:rsidR="00755981" w:rsidRPr="00EF577A" w:rsidRDefault="00755981" w:rsidP="00755981">
      <w:pPr>
        <w:rPr>
          <w:szCs w:val="22"/>
        </w:rPr>
      </w:pPr>
    </w:p>
    <w:p w14:paraId="60D669AC" w14:textId="77777777" w:rsidR="00CA0CF8" w:rsidRPr="00EF577A" w:rsidRDefault="00CA0CF8" w:rsidP="00CA0CF8">
      <w:pPr>
        <w:rPr>
          <w:szCs w:val="22"/>
        </w:rPr>
      </w:pPr>
    </w:p>
    <w:p w14:paraId="463BB969" w14:textId="77777777" w:rsidR="00CA0CF8" w:rsidRPr="00EF577A" w:rsidRDefault="00CA0CF8" w:rsidP="00CA0CF8">
      <w:pPr>
        <w:rPr>
          <w:szCs w:val="22"/>
        </w:rPr>
      </w:pPr>
    </w:p>
    <w:p w14:paraId="7C44C0F1" w14:textId="77777777" w:rsidR="00CA0CF8" w:rsidRPr="00EF577A" w:rsidRDefault="00CA0CF8" w:rsidP="00CA0CF8">
      <w:pPr>
        <w:rPr>
          <w:szCs w:val="22"/>
        </w:rPr>
      </w:pPr>
    </w:p>
    <w:p w14:paraId="74AAC88C" w14:textId="77777777" w:rsidR="00CA0CF8" w:rsidRPr="00EF577A" w:rsidRDefault="00CA0CF8" w:rsidP="00CA0CF8">
      <w:pPr>
        <w:rPr>
          <w:szCs w:val="22"/>
        </w:rPr>
      </w:pPr>
    </w:p>
    <w:p w14:paraId="56DC8B62" w14:textId="1552420B" w:rsidR="00CA0CF8" w:rsidRPr="00EF577A" w:rsidRDefault="00CA0CF8" w:rsidP="00CA0CF8">
      <w:pPr>
        <w:widowControl w:val="0"/>
        <w:autoSpaceDE w:val="0"/>
        <w:autoSpaceDN w:val="0"/>
        <w:adjustRightInd w:val="0"/>
        <w:ind w:right="101"/>
        <w:jc w:val="center"/>
        <w:outlineLvl w:val="0"/>
        <w:rPr>
          <w:color w:val="000000" w:themeColor="text1"/>
          <w:szCs w:val="22"/>
        </w:rPr>
      </w:pPr>
      <w:bookmarkStart w:id="113" w:name="_Toc417498643"/>
      <w:bookmarkStart w:id="114" w:name="_Toc440215012"/>
      <w:bookmarkStart w:id="115" w:name="_Toc28976510"/>
      <w:bookmarkStart w:id="116" w:name="_Toc57545208"/>
      <w:bookmarkStart w:id="117" w:name="_Toc186019891"/>
      <w:r w:rsidRPr="00EF577A">
        <w:rPr>
          <w:color w:val="000000" w:themeColor="text1"/>
          <w:szCs w:val="22"/>
        </w:rPr>
        <w:t>Rodriguez v. Instagram</w:t>
      </w:r>
      <w:bookmarkEnd w:id="113"/>
      <w:bookmarkEnd w:id="114"/>
      <w:bookmarkEnd w:id="115"/>
      <w:bookmarkEnd w:id="116"/>
      <w:bookmarkEnd w:id="117"/>
    </w:p>
    <w:p w14:paraId="65DC176D" w14:textId="77777777" w:rsidR="00CA0CF8" w:rsidRPr="00EF577A" w:rsidRDefault="00CA0CF8" w:rsidP="00CA0CF8">
      <w:pPr>
        <w:widowControl w:val="0"/>
        <w:autoSpaceDE w:val="0"/>
        <w:autoSpaceDN w:val="0"/>
        <w:adjustRightInd w:val="0"/>
        <w:jc w:val="center"/>
        <w:rPr>
          <w:color w:val="000000" w:themeColor="text1"/>
          <w:szCs w:val="22"/>
        </w:rPr>
      </w:pPr>
      <w:r w:rsidRPr="00EF577A">
        <w:rPr>
          <w:color w:val="000000" w:themeColor="text1"/>
          <w:szCs w:val="22"/>
        </w:rPr>
        <w:t>2014 WL 895438 (</w:t>
      </w:r>
      <w:proofErr w:type="spellStart"/>
      <w:r w:rsidRPr="00EF577A">
        <w:rPr>
          <w:color w:val="000000" w:themeColor="text1"/>
          <w:szCs w:val="22"/>
        </w:rPr>
        <w:t>Cal.Super</w:t>
      </w:r>
      <w:proofErr w:type="spellEnd"/>
      <w:r w:rsidRPr="00EF577A">
        <w:rPr>
          <w:color w:val="000000" w:themeColor="text1"/>
          <w:szCs w:val="22"/>
        </w:rPr>
        <w:t xml:space="preserve">. 2014) </w:t>
      </w:r>
    </w:p>
    <w:p w14:paraId="477B8EDB" w14:textId="77777777" w:rsidR="00CA0CF8" w:rsidRPr="00EF577A" w:rsidRDefault="00CA0CF8" w:rsidP="00CA0CF8">
      <w:pPr>
        <w:widowControl w:val="0"/>
        <w:autoSpaceDE w:val="0"/>
        <w:autoSpaceDN w:val="0"/>
        <w:adjustRightInd w:val="0"/>
        <w:jc w:val="center"/>
        <w:rPr>
          <w:color w:val="000000" w:themeColor="text1"/>
          <w:szCs w:val="22"/>
        </w:rPr>
      </w:pPr>
    </w:p>
    <w:p w14:paraId="6A2454BA" w14:textId="77777777" w:rsidR="00CA0CF8" w:rsidRPr="00EF577A" w:rsidRDefault="00CA0CF8" w:rsidP="00CA0CF8">
      <w:pPr>
        <w:widowControl w:val="0"/>
        <w:autoSpaceDE w:val="0"/>
        <w:autoSpaceDN w:val="0"/>
        <w:adjustRightInd w:val="0"/>
        <w:jc w:val="center"/>
        <w:rPr>
          <w:b/>
          <w:bCs/>
          <w:color w:val="000000" w:themeColor="text1"/>
          <w:szCs w:val="22"/>
        </w:rPr>
      </w:pPr>
      <w:r w:rsidRPr="00EF577A">
        <w:rPr>
          <w:b/>
          <w:bCs/>
          <w:color w:val="000000" w:themeColor="text1"/>
          <w:szCs w:val="22"/>
        </w:rPr>
        <w:t>Order Sustaining Demurrer without Leave to Amend</w:t>
      </w:r>
    </w:p>
    <w:p w14:paraId="0ED3565D" w14:textId="77777777" w:rsidR="00CA0CF8" w:rsidRPr="00EF577A" w:rsidRDefault="00CA0CF8" w:rsidP="00CA0CF8">
      <w:pPr>
        <w:widowControl w:val="0"/>
        <w:autoSpaceDE w:val="0"/>
        <w:autoSpaceDN w:val="0"/>
        <w:adjustRightInd w:val="0"/>
        <w:rPr>
          <w:color w:val="000000" w:themeColor="text1"/>
          <w:szCs w:val="22"/>
        </w:rPr>
      </w:pPr>
    </w:p>
    <w:p w14:paraId="5CA4EBC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Curtis E. A. Karnow, Judge.</w:t>
      </w:r>
    </w:p>
    <w:p w14:paraId="3DF506E8" w14:textId="77777777" w:rsidR="00CA0CF8" w:rsidRPr="00EF577A" w:rsidRDefault="00CA0CF8" w:rsidP="00CA0CF8">
      <w:pPr>
        <w:widowControl w:val="0"/>
        <w:autoSpaceDE w:val="0"/>
        <w:autoSpaceDN w:val="0"/>
        <w:adjustRightInd w:val="0"/>
        <w:jc w:val="both"/>
        <w:rPr>
          <w:color w:val="000000" w:themeColor="text1"/>
          <w:szCs w:val="22"/>
        </w:rPr>
      </w:pPr>
      <w:bookmarkStart w:id="118" w:name="co_pp_sp_999_1_1"/>
      <w:bookmarkEnd w:id="118"/>
    </w:p>
    <w:p w14:paraId="7C16CA2B"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Plaintiff Lucy Rodriguez brought this putative class action against Instagram, LLC alleging causes of action for (1) breach of contract predicated on a violation of the covenant of good faith and fair dealing; and (2) violation of </w:t>
      </w:r>
      <w:hyperlink r:id="rId104" w:history="1">
        <w:r w:rsidRPr="00EF577A">
          <w:rPr>
            <w:color w:val="000000" w:themeColor="text1"/>
            <w:szCs w:val="22"/>
          </w:rPr>
          <w:t>California Business and Professions Code § 17200 (UCL)</w:t>
        </w:r>
      </w:hyperlink>
      <w:r w:rsidRPr="00EF577A">
        <w:rPr>
          <w:color w:val="000000" w:themeColor="text1"/>
          <w:szCs w:val="22"/>
        </w:rPr>
        <w:t>.</w:t>
      </w:r>
    </w:p>
    <w:p w14:paraId="1156D64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4B67F30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I heard argument on Instagram’s demurrer this date.</w:t>
      </w:r>
    </w:p>
    <w:p w14:paraId="6DE44AE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A1B8D69"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Background</w:t>
      </w:r>
    </w:p>
    <w:p w14:paraId="3E0CE636"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Instagram is a web-based photograph sharing platform. Complaint. ¶ 1. The service is free to users. When Instagram was launched in October 2010, its use was governed by its Original Terms of Use. </w:t>
      </w:r>
      <w:r w:rsidRPr="00EF577A">
        <w:rPr>
          <w:i/>
          <w:iCs/>
          <w:color w:val="000000" w:themeColor="text1"/>
          <w:szCs w:val="22"/>
        </w:rPr>
        <w:t>Id.</w:t>
      </w:r>
      <w:r w:rsidRPr="00EF577A">
        <w:rPr>
          <w:color w:val="000000" w:themeColor="text1"/>
          <w:szCs w:val="22"/>
        </w:rPr>
        <w:t xml:space="preserve"> at ¶ 2, Ex. A (Original Terms). The Original Terms governed </w:t>
      </w:r>
      <w:r w:rsidRPr="00EF577A">
        <w:rPr>
          <w:color w:val="000000" w:themeColor="text1"/>
          <w:szCs w:val="22"/>
        </w:rPr>
        <w:lastRenderedPageBreak/>
        <w:t xml:space="preserve">until January 19, 2013, at which date Instagram’s New Terms of Use went into effect </w:t>
      </w:r>
      <w:r w:rsidRPr="00EF577A">
        <w:rPr>
          <w:i/>
          <w:iCs/>
          <w:color w:val="000000" w:themeColor="text1"/>
          <w:szCs w:val="22"/>
        </w:rPr>
        <w:t>Id.</w:t>
      </w:r>
      <w:r w:rsidRPr="00EF577A">
        <w:rPr>
          <w:color w:val="000000" w:themeColor="text1"/>
          <w:szCs w:val="22"/>
        </w:rPr>
        <w:t xml:space="preserve"> at ¶¶ 1-2, 26, Ex. B (New Terms). On December 18, 2012, a month earlier, Instagram’s users were given notice of the New Terms and their effective date. </w:t>
      </w:r>
      <w:r w:rsidRPr="00EF577A">
        <w:rPr>
          <w:i/>
          <w:iCs/>
          <w:color w:val="000000" w:themeColor="text1"/>
          <w:szCs w:val="22"/>
        </w:rPr>
        <w:t>Id.</w:t>
      </w:r>
      <w:r w:rsidRPr="00EF577A">
        <w:rPr>
          <w:color w:val="000000" w:themeColor="text1"/>
          <w:szCs w:val="22"/>
        </w:rPr>
        <w:t xml:space="preserve"> at ¶ 2, 28. The New Terms were modified on December 20, 2012, but the effective date was unchanged. </w:t>
      </w:r>
      <w:r w:rsidRPr="00EF577A">
        <w:rPr>
          <w:i/>
          <w:iCs/>
          <w:color w:val="000000" w:themeColor="text1"/>
          <w:szCs w:val="22"/>
        </w:rPr>
        <w:t>Id.</w:t>
      </w:r>
      <w:r w:rsidRPr="00EF577A">
        <w:rPr>
          <w:color w:val="000000" w:themeColor="text1"/>
          <w:szCs w:val="22"/>
        </w:rPr>
        <w:t xml:space="preserve"> at ¶ 26.</w:t>
      </w:r>
    </w:p>
    <w:p w14:paraId="0FE8832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5FB56D6"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The New Terms modified the original terms in three allegedly material respects: (1) in the Original Terms, Instagram disclaimed any ownership rights in content users post on Instagram, whereas in the New Terms Instagram disclaimed ownership of content users post on Instagram;</w:t>
      </w:r>
      <w:bookmarkStart w:id="119" w:name="co_tablefootnote_1_1"/>
      <w:bookmarkEnd w:id="119"/>
      <w:r w:rsidRPr="00EF577A">
        <w:rPr>
          <w:color w:val="000000" w:themeColor="text1"/>
          <w:szCs w:val="22"/>
        </w:rPr>
        <w:t xml:space="preserve"> (2) in the Original Terms, Instagram was afforded a non-exclusive limited license to use, modify, delete from, add to, publicly perform, publicly display, reproduce, and translate content users posted on Instagram, whereas under the New Terms Instagram has a transferable and sub-licensable license to use the content users post, with the two allegedly material aspects being (1) the addition of sublicensing authority; and (2) removal of any limitations on the scope of the license and (3) the New Terms add a liability waiver. </w:t>
      </w:r>
      <w:r w:rsidRPr="00EF577A">
        <w:rPr>
          <w:i/>
          <w:iCs/>
          <w:color w:val="000000" w:themeColor="text1"/>
          <w:szCs w:val="22"/>
        </w:rPr>
        <w:t>Id.</w:t>
      </w:r>
      <w:r w:rsidRPr="00EF577A">
        <w:rPr>
          <w:color w:val="000000" w:themeColor="text1"/>
          <w:szCs w:val="22"/>
        </w:rPr>
        <w:t xml:space="preserve"> at ¶¶ 3, 26.</w:t>
      </w:r>
    </w:p>
    <w:p w14:paraId="763F456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74557AD1" w14:textId="77777777" w:rsidR="00CA0CF8" w:rsidRPr="00EF577A" w:rsidRDefault="00CA0CF8" w:rsidP="00CA0CF8">
      <w:pPr>
        <w:widowControl w:val="0"/>
        <w:autoSpaceDE w:val="0"/>
        <w:autoSpaceDN w:val="0"/>
        <w:adjustRightInd w:val="0"/>
        <w:rPr>
          <w:i/>
          <w:iCs/>
          <w:color w:val="000000" w:themeColor="text1"/>
          <w:szCs w:val="22"/>
        </w:rPr>
      </w:pPr>
      <w:r w:rsidRPr="00EF577A">
        <w:rPr>
          <w:color w:val="000000" w:themeColor="text1"/>
          <w:szCs w:val="22"/>
        </w:rPr>
        <w:t xml:space="preserve">The New Terms provide that a user accepts them by continuing to use Instagram, that is, using the service on or after January 19, 2013. </w:t>
      </w:r>
      <w:r w:rsidRPr="00EF577A">
        <w:rPr>
          <w:i/>
          <w:iCs/>
          <w:color w:val="000000" w:themeColor="text1"/>
          <w:szCs w:val="22"/>
        </w:rPr>
        <w:t>Id.</w:t>
      </w:r>
      <w:r w:rsidRPr="00EF577A">
        <w:rPr>
          <w:color w:val="000000" w:themeColor="text1"/>
          <w:szCs w:val="22"/>
        </w:rPr>
        <w:t xml:space="preserve"> at Ex. B. Under the New Terms, a user who does not agree to the terms must stop using Instagram. </w:t>
      </w:r>
      <w:r w:rsidRPr="00EF577A">
        <w:rPr>
          <w:i/>
          <w:iCs/>
          <w:color w:val="000000" w:themeColor="text1"/>
          <w:szCs w:val="22"/>
        </w:rPr>
        <w:t>Id.</w:t>
      </w:r>
    </w:p>
    <w:p w14:paraId="0E55A96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074F8EB0" w14:textId="77777777" w:rsidR="00CA0CF8" w:rsidRPr="00EF577A" w:rsidRDefault="00CA0CF8" w:rsidP="00CA0CF8">
      <w:pPr>
        <w:widowControl w:val="0"/>
        <w:autoSpaceDE w:val="0"/>
        <w:autoSpaceDN w:val="0"/>
        <w:adjustRightInd w:val="0"/>
        <w:rPr>
          <w:i/>
          <w:iCs/>
          <w:color w:val="000000" w:themeColor="text1"/>
          <w:szCs w:val="22"/>
        </w:rPr>
      </w:pPr>
      <w:r w:rsidRPr="00EF577A">
        <w:rPr>
          <w:color w:val="000000" w:themeColor="text1"/>
          <w:szCs w:val="22"/>
        </w:rPr>
        <w:t xml:space="preserve">Even if a user does not agree to the New Terms and deletes her account, Instagram does not purge the user’s content. </w:t>
      </w:r>
      <w:r w:rsidRPr="00EF577A">
        <w:rPr>
          <w:i/>
          <w:iCs/>
          <w:color w:val="000000" w:themeColor="text1"/>
          <w:szCs w:val="22"/>
        </w:rPr>
        <w:t>Id.</w:t>
      </w:r>
      <w:r w:rsidRPr="00EF577A">
        <w:rPr>
          <w:color w:val="000000" w:themeColor="text1"/>
          <w:szCs w:val="22"/>
        </w:rPr>
        <w:t xml:space="preserve"> at ¶¶ 7-8, 27. In its databases, Instagram does not distinguish between content that was uploaded before and after the New Terms went into effect. </w:t>
      </w:r>
      <w:r w:rsidRPr="00EF577A">
        <w:rPr>
          <w:i/>
          <w:iCs/>
          <w:color w:val="000000" w:themeColor="text1"/>
          <w:szCs w:val="22"/>
        </w:rPr>
        <w:t>Id.</w:t>
      </w:r>
      <w:r w:rsidRPr="00EF577A">
        <w:rPr>
          <w:color w:val="000000" w:themeColor="text1"/>
          <w:szCs w:val="22"/>
        </w:rPr>
        <w:t xml:space="preserve"> at ¶ 8. Accordingly, Plaintiff concludes that Instagram “de facto” asserts that the New Terms apply to all content users uploaded to Instagram, specifically including content uploaded before notice of the New Terms, regardless of whether a user agrees or not to the New Terms. </w:t>
      </w:r>
      <w:r w:rsidRPr="00EF577A">
        <w:rPr>
          <w:i/>
          <w:iCs/>
          <w:color w:val="000000" w:themeColor="text1"/>
          <w:szCs w:val="22"/>
        </w:rPr>
        <w:t>Id.</w:t>
      </w:r>
    </w:p>
    <w:p w14:paraId="12219C0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2E6A9055"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Plaintiff used Instagram under the Original Terms, and uploaded pictures, including pictures of herself. </w:t>
      </w:r>
      <w:r w:rsidRPr="00EF577A">
        <w:rPr>
          <w:i/>
          <w:iCs/>
          <w:color w:val="000000" w:themeColor="text1"/>
          <w:szCs w:val="22"/>
        </w:rPr>
        <w:t>Id.</w:t>
      </w:r>
      <w:r w:rsidRPr="00EF577A">
        <w:rPr>
          <w:color w:val="000000" w:themeColor="text1"/>
          <w:szCs w:val="22"/>
        </w:rPr>
        <w:t xml:space="preserve"> at ¶¶ 2, 14. Plaintiff uses the material posted on Instagram for personal, business, and promotional purposes. </w:t>
      </w:r>
      <w:r w:rsidRPr="00EF577A">
        <w:rPr>
          <w:i/>
          <w:iCs/>
          <w:color w:val="000000" w:themeColor="text1"/>
          <w:szCs w:val="22"/>
        </w:rPr>
        <w:t>Id.</w:t>
      </w:r>
      <w:r w:rsidRPr="00EF577A">
        <w:rPr>
          <w:color w:val="000000" w:themeColor="text1"/>
          <w:szCs w:val="22"/>
        </w:rPr>
        <w:t xml:space="preserve"> at ¶ 14. As plainly suggested by the Complaint and clarified at today’s hearing on demurrer, Plaintiff continued to use Instagram after the New Terms went into effect. </w:t>
      </w:r>
      <w:r w:rsidRPr="00EF577A">
        <w:rPr>
          <w:i/>
          <w:iCs/>
          <w:color w:val="000000" w:themeColor="text1"/>
          <w:szCs w:val="22"/>
        </w:rPr>
        <w:t>Id.</w:t>
      </w:r>
      <w:r w:rsidRPr="00EF577A">
        <w:rPr>
          <w:color w:val="000000" w:themeColor="text1"/>
          <w:szCs w:val="22"/>
        </w:rPr>
        <w:t xml:space="preserve"> She was alerted to the New Terms, opted out of the arbitration provisions in the New Terms (Complaint ¶ </w:t>
      </w:r>
      <w:proofErr w:type="gramStart"/>
      <w:r w:rsidRPr="00EF577A">
        <w:rPr>
          <w:color w:val="000000" w:themeColor="text1"/>
          <w:szCs w:val="22"/>
        </w:rPr>
        <w:t>16 )</w:t>
      </w:r>
      <w:proofErr w:type="gramEnd"/>
      <w:r w:rsidRPr="00EF577A">
        <w:rPr>
          <w:color w:val="000000" w:themeColor="text1"/>
          <w:szCs w:val="22"/>
        </w:rPr>
        <w:t xml:space="preserve">, filed a complaint in federal court immediately after learning of the New Terms, and thereafter to </w:t>
      </w:r>
      <w:proofErr w:type="spellStart"/>
      <w:r w:rsidRPr="00EF577A">
        <w:rPr>
          <w:color w:val="000000" w:themeColor="text1"/>
          <w:szCs w:val="22"/>
        </w:rPr>
        <w:t>continued</w:t>
      </w:r>
      <w:proofErr w:type="spellEnd"/>
      <w:r w:rsidRPr="00EF577A">
        <w:rPr>
          <w:color w:val="000000" w:themeColor="text1"/>
          <w:szCs w:val="22"/>
        </w:rPr>
        <w:t xml:space="preserve"> to use Instagram.</w:t>
      </w:r>
    </w:p>
    <w:p w14:paraId="492FC8A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49324660" w14:textId="77777777" w:rsidR="00CA0CF8" w:rsidRPr="00EF577A" w:rsidRDefault="00CA0CF8" w:rsidP="00CA0CF8">
      <w:pPr>
        <w:widowControl w:val="0"/>
        <w:autoSpaceDE w:val="0"/>
        <w:autoSpaceDN w:val="0"/>
        <w:adjustRightInd w:val="0"/>
        <w:rPr>
          <w:color w:val="000000" w:themeColor="text1"/>
          <w:szCs w:val="22"/>
        </w:rPr>
      </w:pPr>
      <w:bookmarkStart w:id="120" w:name="co_pp_sp_999_2_1"/>
      <w:bookmarkEnd w:id="120"/>
      <w:r w:rsidRPr="00EF577A">
        <w:rPr>
          <w:color w:val="000000" w:themeColor="text1"/>
          <w:szCs w:val="22"/>
        </w:rPr>
        <w:t xml:space="preserve">Based on the language in the New Terms and a December 18, 2012 press release in which Instagram described its advertising plan, Plaintiff believes that Instagram is negotiating and/or has executed with contracts with advertisers and/or other third parties to transfer and/or sublicense Plaintiffs content for the purposes of advertising, or otherwise has imminent plans to enter into such agreements. </w:t>
      </w:r>
      <w:r w:rsidRPr="00EF577A">
        <w:rPr>
          <w:i/>
          <w:iCs/>
          <w:color w:val="000000" w:themeColor="text1"/>
          <w:szCs w:val="22"/>
        </w:rPr>
        <w:t>Id.</w:t>
      </w:r>
      <w:r w:rsidRPr="00EF577A">
        <w:rPr>
          <w:color w:val="000000" w:themeColor="text1"/>
          <w:szCs w:val="22"/>
        </w:rPr>
        <w:t xml:space="preserve"> at ¶ 30.</w:t>
      </w:r>
    </w:p>
    <w:p w14:paraId="28C2AD3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4F7ADBE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Instagram demurs, arguing (1) it acted within the scope of its contractual authority by modifying the terms; (2) the face of the New Terms demonstrates that Plaintiff could have declined to be bound by them by deleting her Instagram account after receiving notice of </w:t>
      </w:r>
      <w:r w:rsidRPr="00EF577A">
        <w:rPr>
          <w:color w:val="000000" w:themeColor="text1"/>
          <w:szCs w:val="22"/>
        </w:rPr>
        <w:lastRenderedPageBreak/>
        <w:t>the New Terms but before they went into effect; and (3) Plaintiff has not adequately alleged harm.</w:t>
      </w:r>
    </w:p>
    <w:p w14:paraId="375257F3"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D04DFDD"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Discussion</w:t>
      </w:r>
    </w:p>
    <w:p w14:paraId="6F0D1246"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The Covenant of Good Faith and Fair Dealing</w:t>
      </w:r>
    </w:p>
    <w:p w14:paraId="63830455"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1. Background Law</w:t>
      </w:r>
    </w:p>
    <w:p w14:paraId="344A294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“Every contract imposes upon each party a duty of good faith and fair dealing in its performance and its enforcement.” </w:t>
      </w:r>
      <w:hyperlink r:id="rId105" w:anchor="co_pp_sp_4040_371" w:history="1">
        <w:r w:rsidRPr="00EF577A">
          <w:rPr>
            <w:i/>
            <w:iCs/>
            <w:color w:val="000000" w:themeColor="text1"/>
            <w:szCs w:val="22"/>
          </w:rPr>
          <w:t>Car ma Developers (Cat), Inc</w:t>
        </w:r>
        <w:r w:rsidRPr="00EF577A">
          <w:rPr>
            <w:color w:val="000000" w:themeColor="text1"/>
            <w:szCs w:val="22"/>
          </w:rPr>
          <w:t xml:space="preserve">. v. </w:t>
        </w:r>
        <w:r w:rsidRPr="00EF577A">
          <w:rPr>
            <w:i/>
            <w:iCs/>
            <w:color w:val="000000" w:themeColor="text1"/>
            <w:szCs w:val="22"/>
          </w:rPr>
          <w:t>Marathon Development California, Inc.</w:t>
        </w:r>
        <w:r w:rsidRPr="00EF577A">
          <w:rPr>
            <w:color w:val="000000" w:themeColor="text1"/>
            <w:szCs w:val="22"/>
          </w:rPr>
          <w:t>, 2 Cal.4th 342, 371 (1992)</w:t>
        </w:r>
      </w:hyperlink>
      <w:r w:rsidRPr="00EF577A">
        <w:rPr>
          <w:color w:val="000000" w:themeColor="text1"/>
          <w:szCs w:val="22"/>
        </w:rPr>
        <w:t xml:space="preserve">. “The covenant of good faith finds particular application in situations where one party is invested with a discretionary power affecting the rights of another. Such power must be exercised in good faith.” </w:t>
      </w:r>
      <w:hyperlink r:id="rId106" w:anchor="co_pp_sp_4040_372" w:history="1">
        <w:r w:rsidRPr="00EF577A">
          <w:rPr>
            <w:i/>
            <w:iCs/>
            <w:color w:val="000000" w:themeColor="text1"/>
            <w:szCs w:val="22"/>
          </w:rPr>
          <w:t>Carma, 2</w:t>
        </w:r>
        <w:r w:rsidRPr="00EF577A">
          <w:rPr>
            <w:color w:val="000000" w:themeColor="text1"/>
            <w:szCs w:val="22"/>
          </w:rPr>
          <w:t xml:space="preserve"> Cal.4th at 372</w:t>
        </w:r>
      </w:hyperlink>
      <w:r w:rsidRPr="00EF577A">
        <w:rPr>
          <w:color w:val="000000" w:themeColor="text1"/>
          <w:szCs w:val="22"/>
        </w:rPr>
        <w:t>. “[T]</w:t>
      </w:r>
      <w:proofErr w:type="gramStart"/>
      <w:r w:rsidRPr="00EF577A">
        <w:rPr>
          <w:color w:val="000000" w:themeColor="text1"/>
          <w:szCs w:val="22"/>
        </w:rPr>
        <w:t>he</w:t>
      </w:r>
      <w:proofErr w:type="gramEnd"/>
      <w:r w:rsidRPr="00EF577A">
        <w:rPr>
          <w:color w:val="000000" w:themeColor="text1"/>
          <w:szCs w:val="22"/>
        </w:rPr>
        <w:t xml:space="preserve"> scope of conduct prohibited by the covenant of good faith is circumscribed by the purposes and express terms of the contract.” </w:t>
      </w:r>
      <w:hyperlink r:id="rId107" w:anchor="co_pp_sp_4040_373" w:history="1">
        <w:r w:rsidRPr="00EF577A">
          <w:rPr>
            <w:i/>
            <w:iCs/>
            <w:color w:val="000000" w:themeColor="text1"/>
            <w:szCs w:val="22"/>
          </w:rPr>
          <w:t>Id.</w:t>
        </w:r>
        <w:r w:rsidRPr="00EF577A">
          <w:rPr>
            <w:color w:val="000000" w:themeColor="text1"/>
            <w:szCs w:val="22"/>
          </w:rPr>
          <w:t xml:space="preserve"> at 373</w:t>
        </w:r>
      </w:hyperlink>
      <w:r w:rsidRPr="00EF577A">
        <w:rPr>
          <w:color w:val="000000" w:themeColor="text1"/>
          <w:szCs w:val="22"/>
        </w:rPr>
        <w:t xml:space="preserve">. The covenant is read into contracts to protect the express promises of the contract. </w:t>
      </w:r>
      <w:r w:rsidRPr="00EF577A">
        <w:rPr>
          <w:i/>
          <w:iCs/>
          <w:color w:val="000000" w:themeColor="text1"/>
          <w:szCs w:val="22"/>
        </w:rPr>
        <w:t>Id.</w:t>
      </w:r>
      <w:r w:rsidRPr="00EF577A">
        <w:rPr>
          <w:color w:val="000000" w:themeColor="text1"/>
          <w:szCs w:val="22"/>
        </w:rPr>
        <w:t xml:space="preserve"> In general, implied terms should never be read to vary express terms. </w:t>
      </w:r>
      <w:hyperlink r:id="rId108" w:anchor="co_pp_sp_4040_374" w:history="1">
        <w:r w:rsidRPr="00EF577A">
          <w:rPr>
            <w:i/>
            <w:iCs/>
            <w:color w:val="000000" w:themeColor="text1"/>
            <w:szCs w:val="22"/>
          </w:rPr>
          <w:t>Id.</w:t>
        </w:r>
        <w:r w:rsidRPr="00EF577A">
          <w:rPr>
            <w:color w:val="000000" w:themeColor="text1"/>
            <w:szCs w:val="22"/>
          </w:rPr>
          <w:t xml:space="preserve"> at 374</w:t>
        </w:r>
      </w:hyperlink>
      <w:r w:rsidRPr="00EF577A">
        <w:rPr>
          <w:color w:val="000000" w:themeColor="text1"/>
          <w:szCs w:val="22"/>
        </w:rPr>
        <w:t xml:space="preserve">. No covenant of good faith and fair dealing can be implied to forbid acts and conduct authorized by the express provisions of the contract. </w:t>
      </w:r>
      <w:r w:rsidRPr="00EF577A">
        <w:rPr>
          <w:i/>
          <w:iCs/>
          <w:color w:val="000000" w:themeColor="text1"/>
          <w:szCs w:val="22"/>
        </w:rPr>
        <w:t>Id.</w:t>
      </w:r>
      <w:r w:rsidRPr="00EF577A">
        <w:rPr>
          <w:color w:val="000000" w:themeColor="text1"/>
          <w:szCs w:val="22"/>
        </w:rPr>
        <w:t xml:space="preserve"> The question of whether the implied covenant has been breached is ordinarily a question of fact unless only one inference can be drawn from the evidence. </w:t>
      </w:r>
      <w:hyperlink r:id="rId109" w:anchor="co_pp_sp_4041_509" w:history="1">
        <w:r w:rsidRPr="00EF577A">
          <w:rPr>
            <w:i/>
            <w:iCs/>
            <w:color w:val="000000" w:themeColor="text1"/>
            <w:szCs w:val="22"/>
          </w:rPr>
          <w:t>Hicks</w:t>
        </w:r>
        <w:r w:rsidRPr="00EF577A">
          <w:rPr>
            <w:color w:val="000000" w:themeColor="text1"/>
            <w:szCs w:val="22"/>
          </w:rPr>
          <w:t xml:space="preserve"> v. </w:t>
        </w:r>
        <w:r w:rsidRPr="00EF577A">
          <w:rPr>
            <w:i/>
            <w:iCs/>
            <w:color w:val="000000" w:themeColor="text1"/>
            <w:szCs w:val="22"/>
          </w:rPr>
          <w:t>E.T. Legg &amp; Associates</w:t>
        </w:r>
        <w:r w:rsidRPr="00EF577A">
          <w:rPr>
            <w:color w:val="000000" w:themeColor="text1"/>
            <w:szCs w:val="22"/>
          </w:rPr>
          <w:t xml:space="preserve">, 89 </w:t>
        </w:r>
        <w:r w:rsidRPr="00EF577A">
          <w:rPr>
            <w:i/>
            <w:iCs/>
            <w:color w:val="000000" w:themeColor="text1"/>
            <w:szCs w:val="22"/>
          </w:rPr>
          <w:t>Cal.App.4th</w:t>
        </w:r>
        <w:r w:rsidRPr="00EF577A">
          <w:rPr>
            <w:color w:val="000000" w:themeColor="text1"/>
            <w:szCs w:val="22"/>
          </w:rPr>
          <w:t xml:space="preserve"> 496,509(2001)</w:t>
        </w:r>
      </w:hyperlink>
      <w:r w:rsidRPr="00EF577A">
        <w:rPr>
          <w:color w:val="000000" w:themeColor="text1"/>
          <w:szCs w:val="22"/>
        </w:rPr>
        <w:t>.</w:t>
      </w:r>
    </w:p>
    <w:p w14:paraId="1C1ED1C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56192BB" w14:textId="77777777" w:rsidR="00CA0CF8" w:rsidRPr="00EF577A" w:rsidRDefault="00CA0CF8" w:rsidP="00CA0CF8">
      <w:pPr>
        <w:widowControl w:val="0"/>
        <w:autoSpaceDE w:val="0"/>
        <w:autoSpaceDN w:val="0"/>
        <w:adjustRightInd w:val="0"/>
        <w:rPr>
          <w:b/>
          <w:bCs/>
          <w:i/>
          <w:iCs/>
          <w:color w:val="000000" w:themeColor="text1"/>
          <w:szCs w:val="22"/>
        </w:rPr>
      </w:pPr>
      <w:r w:rsidRPr="00EF577A">
        <w:rPr>
          <w:b/>
          <w:bCs/>
          <w:color w:val="000000" w:themeColor="text1"/>
          <w:szCs w:val="22"/>
        </w:rPr>
        <w:t xml:space="preserve">2. </w:t>
      </w:r>
      <w:r w:rsidRPr="00EF577A">
        <w:rPr>
          <w:b/>
          <w:bCs/>
          <w:i/>
          <w:iCs/>
          <w:color w:val="000000" w:themeColor="text1"/>
          <w:szCs w:val="22"/>
        </w:rPr>
        <w:t>Badie</w:t>
      </w:r>
    </w:p>
    <w:p w14:paraId="6B4703E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Plaintiff apparently contends that Instagram breached the covenant of good faith and fair dealing applicable to the Original Terms. Complaint, ¶ 40-41 (Plaintiff is allegedly subject to Original Terms). These terms include this:</w:t>
      </w:r>
    </w:p>
    <w:p w14:paraId="1E6E5578"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09D1A34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We reserve the right to alter these Terms of Use at any time. If the alterations constitute a material change to the Terms of Use, we will notify you via internet mail according to the preference expressed on your account. What constitutes a ‘material change’ will be determined at our sole discretion, in good faith and using common sense and reasonable judgment.</w:t>
      </w:r>
    </w:p>
    <w:p w14:paraId="4A70B31A"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093D904" w14:textId="77777777" w:rsidR="00CA0CF8" w:rsidRPr="00EF577A" w:rsidRDefault="00CA0CF8" w:rsidP="00CA0CF8">
      <w:pPr>
        <w:widowControl w:val="0"/>
        <w:autoSpaceDE w:val="0"/>
        <w:autoSpaceDN w:val="0"/>
        <w:adjustRightInd w:val="0"/>
        <w:rPr>
          <w:color w:val="000000" w:themeColor="text1"/>
          <w:szCs w:val="22"/>
        </w:rPr>
      </w:pPr>
      <w:r w:rsidRPr="00EF577A">
        <w:rPr>
          <w:i/>
          <w:iCs/>
          <w:color w:val="000000" w:themeColor="text1"/>
          <w:szCs w:val="22"/>
        </w:rPr>
        <w:t>Id.</w:t>
      </w:r>
      <w:r w:rsidRPr="00EF577A">
        <w:rPr>
          <w:color w:val="000000" w:themeColor="text1"/>
          <w:szCs w:val="22"/>
        </w:rPr>
        <w:t xml:space="preserve"> at Ex. A (General Conditions, ¶ 2).</w:t>
      </w:r>
    </w:p>
    <w:p w14:paraId="22F94FD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517989DB"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The parties focus </w:t>
      </w:r>
      <w:r w:rsidRPr="00EF577A">
        <w:rPr>
          <w:i/>
          <w:iCs/>
          <w:color w:val="000000" w:themeColor="text1"/>
          <w:szCs w:val="22"/>
        </w:rPr>
        <w:t xml:space="preserve">on </w:t>
      </w:r>
      <w:hyperlink r:id="rId110" w:history="1">
        <w:r w:rsidRPr="00EF577A">
          <w:rPr>
            <w:i/>
            <w:iCs/>
            <w:color w:val="000000" w:themeColor="text1"/>
            <w:szCs w:val="22"/>
          </w:rPr>
          <w:t>Badie v. Bank of America</w:t>
        </w:r>
        <w:r w:rsidRPr="00EF577A">
          <w:rPr>
            <w:color w:val="000000" w:themeColor="text1"/>
            <w:szCs w:val="22"/>
          </w:rPr>
          <w:t xml:space="preserve">, 67 </w:t>
        </w:r>
        <w:r w:rsidRPr="00EF577A">
          <w:rPr>
            <w:i/>
            <w:iCs/>
            <w:color w:val="000000" w:themeColor="text1"/>
            <w:szCs w:val="22"/>
          </w:rPr>
          <w:t>Cal.App.4th</w:t>
        </w:r>
        <w:r w:rsidRPr="00EF577A">
          <w:rPr>
            <w:color w:val="000000" w:themeColor="text1"/>
            <w:szCs w:val="22"/>
          </w:rPr>
          <w:t xml:space="preserve"> 779 (1998)</w:t>
        </w:r>
      </w:hyperlink>
      <w:r w:rsidRPr="00EF577A">
        <w:rPr>
          <w:color w:val="000000" w:themeColor="text1"/>
          <w:szCs w:val="22"/>
        </w:rPr>
        <w:t xml:space="preserve">. In </w:t>
      </w:r>
      <w:r w:rsidRPr="00EF577A">
        <w:rPr>
          <w:i/>
          <w:iCs/>
          <w:color w:val="000000" w:themeColor="text1"/>
          <w:szCs w:val="22"/>
        </w:rPr>
        <w:t>Badie</w:t>
      </w:r>
      <w:r w:rsidRPr="00EF577A">
        <w:rPr>
          <w:color w:val="000000" w:themeColor="text1"/>
          <w:szCs w:val="22"/>
        </w:rPr>
        <w:t xml:space="preserve">, the defendant Bank added an alternate dispute resolution clause to existing account agreements between itself and credit card customers through bill stuffers accompanying the monthly account statements pursuant to a change of terms provision in the original account agreements. </w:t>
      </w:r>
      <w:hyperlink r:id="rId111" w:anchor="co_pp_sp_4041_783" w:history="1">
        <w:r w:rsidRPr="00EF577A">
          <w:rPr>
            <w:color w:val="000000" w:themeColor="text1"/>
            <w:szCs w:val="22"/>
          </w:rPr>
          <w:t xml:space="preserve">67 </w:t>
        </w:r>
        <w:r w:rsidRPr="00EF577A">
          <w:rPr>
            <w:i/>
            <w:iCs/>
            <w:color w:val="000000" w:themeColor="text1"/>
            <w:szCs w:val="22"/>
          </w:rPr>
          <w:t>Cal.App.4th</w:t>
        </w:r>
        <w:r w:rsidRPr="00EF577A">
          <w:rPr>
            <w:color w:val="000000" w:themeColor="text1"/>
            <w:szCs w:val="22"/>
          </w:rPr>
          <w:t xml:space="preserve"> at 783-84</w:t>
        </w:r>
      </w:hyperlink>
      <w:r w:rsidRPr="00EF577A">
        <w:rPr>
          <w:color w:val="000000" w:themeColor="text1"/>
          <w:szCs w:val="22"/>
        </w:rPr>
        <w:t xml:space="preserve">. The Bank argued that it could modify the contract without contractual formalities so long as it did so in accordance with the change of terms provision. </w:t>
      </w:r>
      <w:hyperlink r:id="rId112" w:anchor="co_pp_sp_4041_781" w:history="1">
        <w:r w:rsidRPr="00EF577A">
          <w:rPr>
            <w:i/>
            <w:iCs/>
            <w:color w:val="000000" w:themeColor="text1"/>
            <w:szCs w:val="22"/>
          </w:rPr>
          <w:t>Id.</w:t>
        </w:r>
        <w:r w:rsidRPr="00EF577A">
          <w:rPr>
            <w:color w:val="000000" w:themeColor="text1"/>
            <w:szCs w:val="22"/>
          </w:rPr>
          <w:t xml:space="preserve"> at 781</w:t>
        </w:r>
      </w:hyperlink>
      <w:r w:rsidRPr="00EF577A">
        <w:rPr>
          <w:color w:val="000000" w:themeColor="text1"/>
          <w:szCs w:val="22"/>
        </w:rPr>
        <w:t>.</w:t>
      </w:r>
    </w:p>
    <w:p w14:paraId="3EAA75B8"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2C72E18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The Court rejected the argument, holding one may not exercise a unilateral right to modify a contract when it actually “attempts to recapture a foregone opportunity by adding an entirely new term which has no bearing on any subject, issue, right, or obligation addressed in the original contract and was not within the reasonably contemplation of the parties when the contract was entered into.” </w:t>
      </w:r>
      <w:hyperlink r:id="rId113" w:anchor="co_pp_sp_4041_796" w:history="1">
        <w:r w:rsidRPr="00EF577A">
          <w:rPr>
            <w:i/>
            <w:iCs/>
            <w:color w:val="000000" w:themeColor="text1"/>
            <w:szCs w:val="22"/>
          </w:rPr>
          <w:t>Id.</w:t>
        </w:r>
        <w:r w:rsidRPr="00EF577A">
          <w:rPr>
            <w:color w:val="000000" w:themeColor="text1"/>
            <w:szCs w:val="22"/>
          </w:rPr>
          <w:t xml:space="preserve"> at 796</w:t>
        </w:r>
      </w:hyperlink>
      <w:r w:rsidRPr="00EF577A">
        <w:rPr>
          <w:color w:val="000000" w:themeColor="text1"/>
          <w:szCs w:val="22"/>
        </w:rPr>
        <w:t>. The Bank’s attempt to modify the contract thus breached the covenant of good faith and fair dealing.</w:t>
      </w:r>
    </w:p>
    <w:p w14:paraId="4E43793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lastRenderedPageBreak/>
        <w:t> </w:t>
      </w:r>
    </w:p>
    <w:p w14:paraId="0D8D5BFE" w14:textId="77777777" w:rsidR="00CA0CF8" w:rsidRPr="00EF577A" w:rsidRDefault="00CA0CF8" w:rsidP="00CA0CF8">
      <w:pPr>
        <w:widowControl w:val="0"/>
        <w:autoSpaceDE w:val="0"/>
        <w:autoSpaceDN w:val="0"/>
        <w:adjustRightInd w:val="0"/>
        <w:rPr>
          <w:color w:val="000000" w:themeColor="text1"/>
          <w:szCs w:val="22"/>
        </w:rPr>
      </w:pPr>
      <w:bookmarkStart w:id="121" w:name="co_pp_sp_999_3_1"/>
      <w:bookmarkEnd w:id="121"/>
      <w:r w:rsidRPr="00EF577A">
        <w:rPr>
          <w:color w:val="000000" w:themeColor="text1"/>
          <w:szCs w:val="22"/>
        </w:rPr>
        <w:t>. . .</w:t>
      </w:r>
    </w:p>
    <w:p w14:paraId="030ED72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6B6179CA" w14:textId="77777777" w:rsidR="00CA0CF8" w:rsidRPr="00EF577A" w:rsidRDefault="00CA0CF8" w:rsidP="00CA0CF8">
      <w:pPr>
        <w:widowControl w:val="0"/>
        <w:autoSpaceDE w:val="0"/>
        <w:autoSpaceDN w:val="0"/>
        <w:adjustRightInd w:val="0"/>
        <w:rPr>
          <w:i/>
          <w:iCs/>
          <w:color w:val="000000" w:themeColor="text1"/>
          <w:szCs w:val="22"/>
        </w:rPr>
      </w:pPr>
      <w:r w:rsidRPr="00EF577A">
        <w:rPr>
          <w:color w:val="000000" w:themeColor="text1"/>
          <w:szCs w:val="22"/>
        </w:rPr>
        <w:t xml:space="preserve">To invoke </w:t>
      </w:r>
      <w:r w:rsidRPr="00EF577A">
        <w:rPr>
          <w:i/>
          <w:iCs/>
          <w:color w:val="000000" w:themeColor="text1"/>
          <w:szCs w:val="22"/>
        </w:rPr>
        <w:t>Badie</w:t>
      </w:r>
      <w:r w:rsidRPr="00EF577A">
        <w:rPr>
          <w:color w:val="000000" w:themeColor="text1"/>
          <w:szCs w:val="22"/>
        </w:rPr>
        <w:t xml:space="preserve">, Plaintiff notes that Instagram imposed the New Terms pursuant to its authority under the Original Terms. But as some federal courts (applying California law) have noted, </w:t>
      </w:r>
      <w:r w:rsidRPr="00EF577A">
        <w:rPr>
          <w:i/>
          <w:iCs/>
          <w:color w:val="000000" w:themeColor="text1"/>
          <w:szCs w:val="22"/>
        </w:rPr>
        <w:t>Badie</w:t>
      </w:r>
      <w:r w:rsidRPr="00EF577A">
        <w:rPr>
          <w:color w:val="000000" w:themeColor="text1"/>
          <w:szCs w:val="22"/>
        </w:rPr>
        <w:t xml:space="preserve"> is distinguishable where there is an opportunity to opt out before new terms go into effect.</w:t>
      </w:r>
      <w:bookmarkStart w:id="122" w:name="co_tablefootnote_2_1"/>
      <w:bookmarkEnd w:id="122"/>
      <w:r w:rsidRPr="00EF577A">
        <w:rPr>
          <w:color w:val="000000" w:themeColor="text1"/>
          <w:szCs w:val="22"/>
        </w:rPr>
        <w:fldChar w:fldCharType="begin"/>
      </w:r>
      <w:r w:rsidRPr="00EF577A">
        <w:rPr>
          <w:color w:val="000000" w:themeColor="text1"/>
          <w:szCs w:val="22"/>
        </w:rPr>
        <w:instrText xml:space="preserve">HYPERLINK "#co_tablefootnoteblock_2_1" </w:instrText>
      </w:r>
      <w:r w:rsidRPr="00EF577A">
        <w:rPr>
          <w:color w:val="000000" w:themeColor="text1"/>
          <w:szCs w:val="22"/>
        </w:rPr>
      </w:r>
      <w:r w:rsidRPr="00EF577A">
        <w:rPr>
          <w:color w:val="000000" w:themeColor="text1"/>
          <w:szCs w:val="22"/>
        </w:rPr>
        <w:fldChar w:fldCharType="separate"/>
      </w:r>
      <w:r w:rsidRPr="00EF577A">
        <w:rPr>
          <w:color w:val="000000" w:themeColor="text1"/>
          <w:szCs w:val="22"/>
          <w:vertAlign w:val="superscript"/>
        </w:rPr>
        <w:t>2</w:t>
      </w:r>
      <w:r w:rsidRPr="00EF577A">
        <w:rPr>
          <w:color w:val="000000" w:themeColor="text1"/>
          <w:szCs w:val="22"/>
        </w:rPr>
        <w:fldChar w:fldCharType="end"/>
      </w:r>
      <w:r w:rsidRPr="00EF577A">
        <w:rPr>
          <w:color w:val="000000" w:themeColor="text1"/>
          <w:szCs w:val="22"/>
        </w:rPr>
        <w:t xml:space="preserve"> In this case, the New Terms expressly provide that use of Instagram after the effective date, January 19, 2013, constitutes acceptance of the New Terms. Complaint, Ex. B. The New Terms explain: “If you do not agree to be bound by all of these Terms of Use, do not access or use the Service.” </w:t>
      </w:r>
      <w:r w:rsidRPr="00EF577A">
        <w:rPr>
          <w:i/>
          <w:iCs/>
          <w:color w:val="000000" w:themeColor="text1"/>
          <w:szCs w:val="22"/>
        </w:rPr>
        <w:t>Id.</w:t>
      </w:r>
    </w:p>
    <w:p w14:paraId="158A2D2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tbl>
      <w:tblPr>
        <w:tblW w:w="0" w:type="auto"/>
        <w:tblLayout w:type="fixed"/>
        <w:tblCellMar>
          <w:left w:w="0" w:type="dxa"/>
          <w:right w:w="0" w:type="dxa"/>
        </w:tblCellMar>
        <w:tblLook w:val="0000" w:firstRow="0" w:lastRow="0" w:firstColumn="0" w:lastColumn="0" w:noHBand="0" w:noVBand="0"/>
      </w:tblPr>
      <w:tblGrid>
        <w:gridCol w:w="600"/>
        <w:gridCol w:w="9480"/>
      </w:tblGrid>
      <w:tr w:rsidR="00CA0CF8" w:rsidRPr="00EF577A" w14:paraId="6FDD8333" w14:textId="77777777" w:rsidTr="00674EB6">
        <w:tc>
          <w:tcPr>
            <w:tcW w:w="600" w:type="dxa"/>
            <w:tcBorders>
              <w:top w:val="nil"/>
              <w:left w:val="nil"/>
              <w:bottom w:val="nil"/>
              <w:right w:val="nil"/>
            </w:tcBorders>
          </w:tcPr>
          <w:p w14:paraId="70F3EC63" w14:textId="77777777" w:rsidR="00CA0CF8" w:rsidRPr="00EF577A" w:rsidRDefault="00CA0CF8" w:rsidP="00674EB6">
            <w:pPr>
              <w:widowControl w:val="0"/>
              <w:autoSpaceDE w:val="0"/>
              <w:autoSpaceDN w:val="0"/>
              <w:adjustRightInd w:val="0"/>
              <w:rPr>
                <w:color w:val="000000" w:themeColor="text1"/>
                <w:szCs w:val="22"/>
              </w:rPr>
            </w:pPr>
            <w:hyperlink w:anchor="co_tablefootnote_2_1" w:history="1">
              <w:r w:rsidRPr="00EF577A">
                <w:rPr>
                  <w:color w:val="000000" w:themeColor="text1"/>
                  <w:szCs w:val="22"/>
                  <w:vertAlign w:val="superscript"/>
                </w:rPr>
                <w:t>2</w:t>
              </w:r>
            </w:hyperlink>
          </w:p>
          <w:p w14:paraId="58C09863" w14:textId="77777777" w:rsidR="00CA0CF8" w:rsidRPr="00EF577A" w:rsidRDefault="00CA0CF8" w:rsidP="00674EB6">
            <w:pPr>
              <w:widowControl w:val="0"/>
              <w:autoSpaceDE w:val="0"/>
              <w:autoSpaceDN w:val="0"/>
              <w:adjustRightInd w:val="0"/>
              <w:rPr>
                <w:color w:val="000000" w:themeColor="text1"/>
                <w:szCs w:val="22"/>
              </w:rPr>
            </w:pPr>
          </w:p>
        </w:tc>
        <w:tc>
          <w:tcPr>
            <w:tcW w:w="9480" w:type="dxa"/>
            <w:tcBorders>
              <w:top w:val="nil"/>
              <w:left w:val="nil"/>
              <w:bottom w:val="nil"/>
              <w:right w:val="nil"/>
            </w:tcBorders>
            <w:tcMar>
              <w:top w:w="90" w:type="dxa"/>
              <w:bottom w:w="90" w:type="dxa"/>
            </w:tcMar>
          </w:tcPr>
          <w:p w14:paraId="6FA2E2B5" w14:textId="77777777" w:rsidR="00CA0CF8" w:rsidRPr="00EF577A" w:rsidRDefault="00CA0CF8" w:rsidP="00674EB6">
            <w:pPr>
              <w:widowControl w:val="0"/>
              <w:autoSpaceDE w:val="0"/>
              <w:autoSpaceDN w:val="0"/>
              <w:adjustRightInd w:val="0"/>
              <w:rPr>
                <w:color w:val="000000" w:themeColor="text1"/>
                <w:szCs w:val="22"/>
              </w:rPr>
            </w:pPr>
            <w:hyperlink r:id="rId114" w:anchor="co_pp_sp_4637_1176" w:history="1">
              <w:r w:rsidRPr="00EF577A">
                <w:rPr>
                  <w:i/>
                  <w:iCs/>
                  <w:color w:val="000000" w:themeColor="text1"/>
                  <w:szCs w:val="22"/>
                </w:rPr>
                <w:t>Ackerberg v Citicorp USA, Inc.</w:t>
              </w:r>
              <w:r w:rsidRPr="00EF577A">
                <w:rPr>
                  <w:color w:val="000000" w:themeColor="text1"/>
                  <w:szCs w:val="22"/>
                </w:rPr>
                <w:t>, 898 F.Supp.2d 1172, 1176 (N.D. Cal. 2012)</w:t>
              </w:r>
            </w:hyperlink>
            <w:r w:rsidRPr="00EF577A">
              <w:rPr>
                <w:color w:val="000000" w:themeColor="text1"/>
                <w:szCs w:val="22"/>
              </w:rPr>
              <w:t xml:space="preserve"> (</w:t>
            </w:r>
            <w:proofErr w:type="spellStart"/>
            <w:r w:rsidRPr="00EF577A">
              <w:rPr>
                <w:color w:val="000000" w:themeColor="text1"/>
                <w:szCs w:val="22"/>
              </w:rPr>
              <w:t>Illston</w:t>
            </w:r>
            <w:proofErr w:type="spellEnd"/>
            <w:r w:rsidRPr="00EF577A">
              <w:rPr>
                <w:color w:val="000000" w:themeColor="text1"/>
                <w:szCs w:val="22"/>
              </w:rPr>
              <w:t xml:space="preserve">, J.) (plaintiff was given an opportunity to walk away from her credit card agreement when it was modified to include an arbitration clause in 2003 but continued to use the card until 2011, evidencing her acceptance of the terms; distinguishing </w:t>
            </w:r>
            <w:r w:rsidRPr="00EF577A">
              <w:rPr>
                <w:i/>
                <w:iCs/>
                <w:color w:val="000000" w:themeColor="text1"/>
                <w:szCs w:val="22"/>
              </w:rPr>
              <w:t>Badie</w:t>
            </w:r>
            <w:r w:rsidRPr="00EF577A">
              <w:rPr>
                <w:color w:val="000000" w:themeColor="text1"/>
                <w:szCs w:val="22"/>
              </w:rPr>
              <w:t xml:space="preserve"> because in </w:t>
            </w:r>
            <w:r w:rsidRPr="00EF577A">
              <w:rPr>
                <w:i/>
                <w:iCs/>
                <w:color w:val="000000" w:themeColor="text1"/>
                <w:szCs w:val="22"/>
              </w:rPr>
              <w:t>Badie</w:t>
            </w:r>
            <w:r w:rsidRPr="00EF577A">
              <w:rPr>
                <w:color w:val="000000" w:themeColor="text1"/>
                <w:szCs w:val="22"/>
              </w:rPr>
              <w:t xml:space="preserve"> there was no realistic opportunity to exit the account); </w:t>
            </w:r>
            <w:hyperlink r:id="rId115" w:anchor="co_pp_sp_4637_1199" w:history="1">
              <w:r w:rsidRPr="00EF577A">
                <w:rPr>
                  <w:i/>
                  <w:iCs/>
                  <w:color w:val="000000" w:themeColor="text1"/>
                  <w:szCs w:val="22"/>
                </w:rPr>
                <w:t>Cayanan</w:t>
              </w:r>
              <w:r w:rsidRPr="00EF577A">
                <w:rPr>
                  <w:color w:val="000000" w:themeColor="text1"/>
                  <w:szCs w:val="22"/>
                </w:rPr>
                <w:t xml:space="preserve"> v. </w:t>
              </w:r>
              <w:r w:rsidRPr="00EF577A">
                <w:rPr>
                  <w:i/>
                  <w:iCs/>
                  <w:color w:val="000000" w:themeColor="text1"/>
                  <w:szCs w:val="22"/>
                </w:rPr>
                <w:t>Citi Holdings, Inc.</w:t>
              </w:r>
              <w:r w:rsidRPr="00EF577A">
                <w:rPr>
                  <w:color w:val="000000" w:themeColor="text1"/>
                  <w:szCs w:val="22"/>
                </w:rPr>
                <w:t>, 928 F.Supp.2d 1182, 1199-1200 (S.D. Cal. 2013)</w:t>
              </w:r>
            </w:hyperlink>
            <w:r w:rsidRPr="00EF577A">
              <w:rPr>
                <w:color w:val="000000" w:themeColor="text1"/>
                <w:szCs w:val="22"/>
              </w:rPr>
              <w:t xml:space="preserve"> (reasoning that bill stuffer notices are not inherently invalid method of obtaining assent to changes in credit card contracts and finding that the credit card user had assented to an arbitration agreement contained in a bill stuffer where the bill stuffer notified the user that the agreement was binding unless the user closed his account within 30 days and refrained from using and authorizing the card and the user continued to use the card; following </w:t>
            </w:r>
            <w:r w:rsidRPr="00EF577A">
              <w:rPr>
                <w:i/>
                <w:iCs/>
                <w:color w:val="000000" w:themeColor="text1"/>
                <w:szCs w:val="22"/>
              </w:rPr>
              <w:t>Ackerberg</w:t>
            </w:r>
            <w:r w:rsidRPr="00EF577A">
              <w:rPr>
                <w:color w:val="000000" w:themeColor="text1"/>
                <w:szCs w:val="22"/>
              </w:rPr>
              <w:t xml:space="preserve"> in distinguishing </w:t>
            </w:r>
            <w:r w:rsidRPr="00EF577A">
              <w:rPr>
                <w:i/>
                <w:iCs/>
                <w:color w:val="000000" w:themeColor="text1"/>
                <w:szCs w:val="22"/>
              </w:rPr>
              <w:t>Badie)</w:t>
            </w:r>
            <w:r w:rsidRPr="00EF577A">
              <w:rPr>
                <w:color w:val="000000" w:themeColor="text1"/>
                <w:szCs w:val="22"/>
              </w:rPr>
              <w:t>.</w:t>
            </w:r>
          </w:p>
          <w:p w14:paraId="56E0244D" w14:textId="77777777" w:rsidR="00CA0CF8" w:rsidRPr="00EF577A" w:rsidRDefault="00CA0CF8" w:rsidP="00674EB6">
            <w:pPr>
              <w:widowControl w:val="0"/>
              <w:autoSpaceDE w:val="0"/>
              <w:autoSpaceDN w:val="0"/>
              <w:adjustRightInd w:val="0"/>
              <w:rPr>
                <w:color w:val="000000" w:themeColor="text1"/>
                <w:szCs w:val="22"/>
              </w:rPr>
            </w:pPr>
          </w:p>
        </w:tc>
      </w:tr>
    </w:tbl>
    <w:p w14:paraId="1FFF2494" w14:textId="77777777" w:rsidR="00CA0CF8" w:rsidRPr="00EF577A" w:rsidRDefault="00CA0CF8" w:rsidP="00CA0CF8">
      <w:pPr>
        <w:widowControl w:val="0"/>
        <w:autoSpaceDE w:val="0"/>
        <w:autoSpaceDN w:val="0"/>
        <w:adjustRightInd w:val="0"/>
        <w:rPr>
          <w:color w:val="000000" w:themeColor="text1"/>
          <w:szCs w:val="22"/>
        </w:rPr>
      </w:pPr>
    </w:p>
    <w:p w14:paraId="1A2B0EB8" w14:textId="77777777" w:rsidR="00CA0CF8" w:rsidRPr="00EF577A" w:rsidRDefault="00CA0CF8" w:rsidP="00CA0CF8">
      <w:pPr>
        <w:widowControl w:val="0"/>
        <w:autoSpaceDE w:val="0"/>
        <w:autoSpaceDN w:val="0"/>
        <w:adjustRightInd w:val="0"/>
        <w:rPr>
          <w:color w:val="000000" w:themeColor="text1"/>
          <w:szCs w:val="22"/>
        </w:rPr>
      </w:pPr>
      <w:r w:rsidRPr="00EF577A">
        <w:rPr>
          <w:i/>
          <w:iCs/>
          <w:color w:val="000000" w:themeColor="text1"/>
          <w:szCs w:val="22"/>
        </w:rPr>
        <w:t>Badie</w:t>
      </w:r>
      <w:r w:rsidRPr="00EF577A">
        <w:rPr>
          <w:color w:val="000000" w:themeColor="text1"/>
          <w:szCs w:val="22"/>
        </w:rPr>
        <w:t xml:space="preserve"> is distinguishable here too. As the Complaint and argument today made clear, Plaintiff had a full and perfectly reasonable opportunity to read, and did read, the New Terms; she could have declined the revised agreement. She could have, under the plain language of the New Terms, avoided the New Terms if she stopped using the service, but she continued to use it: Plaintiff alleged that she used Instagram at all relevant times, including after the New Terms went into effect. Complaint, ¶ 14. </w:t>
      </w:r>
      <w:proofErr w:type="gramStart"/>
      <w:r w:rsidRPr="00EF577A">
        <w:rPr>
          <w:color w:val="000000" w:themeColor="text1"/>
          <w:szCs w:val="22"/>
        </w:rPr>
        <w:t>Thus</w:t>
      </w:r>
      <w:proofErr w:type="gramEnd"/>
      <w:r w:rsidRPr="00EF577A">
        <w:rPr>
          <w:color w:val="000000" w:themeColor="text1"/>
          <w:szCs w:val="22"/>
        </w:rPr>
        <w:t xml:space="preserve"> Plaintiff must have consented to the New Terms. </w:t>
      </w:r>
      <w:proofErr w:type="gramStart"/>
      <w:r w:rsidRPr="00EF577A">
        <w:rPr>
          <w:color w:val="000000" w:themeColor="text1"/>
          <w:szCs w:val="22"/>
        </w:rPr>
        <w:t>Thus</w:t>
      </w:r>
      <w:proofErr w:type="gramEnd"/>
      <w:r w:rsidRPr="00EF577A">
        <w:rPr>
          <w:color w:val="000000" w:themeColor="text1"/>
          <w:szCs w:val="22"/>
        </w:rPr>
        <w:t xml:space="preserve"> there is no </w:t>
      </w:r>
      <w:r w:rsidRPr="00EF577A">
        <w:rPr>
          <w:i/>
          <w:iCs/>
          <w:color w:val="000000" w:themeColor="text1"/>
          <w:szCs w:val="22"/>
        </w:rPr>
        <w:t>Badie</w:t>
      </w:r>
      <w:r w:rsidRPr="00EF577A">
        <w:rPr>
          <w:color w:val="000000" w:themeColor="text1"/>
          <w:szCs w:val="22"/>
        </w:rPr>
        <w:t xml:space="preserve"> issue, because the allegation in the Complaint demonstrate that Plaintiff entered into a new agreement.</w:t>
      </w:r>
    </w:p>
    <w:p w14:paraId="00E0713B"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3D648361"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At argument, Plaintiff’s counsel both agreed that Plaintiff agreed to the New Terms, and that by filing the federal complaint, she had not. No other basis was provided on which one might conclude that Plaintiff had not agreed to the New Terms. But there is also no basis to conclude that the filing of a complaint is sufficient to reject the New Terms—most especially after Plaintiff continues to use and presumably benefit from the Instagram site.</w:t>
      </w:r>
    </w:p>
    <w:p w14:paraId="5410FAC0"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2A708D3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It does not help to say, as Plaintiff does, that Instagram treats content uploaded under the Original Terms as if it were uploaded under the New Terms anyway. Complaint, ¶¶ 7-8, 42; Opposition, 9. Perhaps Instagram </w:t>
      </w:r>
      <w:r w:rsidRPr="00EF577A">
        <w:rPr>
          <w:i/>
          <w:iCs/>
          <w:color w:val="000000" w:themeColor="text1"/>
          <w:szCs w:val="22"/>
        </w:rPr>
        <w:t>might</w:t>
      </w:r>
      <w:r w:rsidRPr="00EF577A">
        <w:rPr>
          <w:color w:val="000000" w:themeColor="text1"/>
          <w:szCs w:val="22"/>
        </w:rPr>
        <w:t xml:space="preserve"> breach the Original Terms (e.g. if it sub-licenses content of users who never agreed to the New Terms). But Plaintiff does not allege </w:t>
      </w:r>
      <w:r w:rsidRPr="00EF577A">
        <w:rPr>
          <w:i/>
          <w:iCs/>
          <w:color w:val="000000" w:themeColor="text1"/>
          <w:szCs w:val="22"/>
        </w:rPr>
        <w:t>that</w:t>
      </w:r>
      <w:r w:rsidRPr="00EF577A">
        <w:rPr>
          <w:color w:val="000000" w:themeColor="text1"/>
          <w:szCs w:val="22"/>
        </w:rPr>
        <w:t xml:space="preserve"> breach of the Original Terms. The question here is whether Instagram breached the Original Terms </w:t>
      </w:r>
      <w:r w:rsidRPr="00EF577A">
        <w:rPr>
          <w:i/>
          <w:iCs/>
          <w:color w:val="000000" w:themeColor="text1"/>
          <w:szCs w:val="22"/>
        </w:rPr>
        <w:t>by imposing the New Terms. See</w:t>
      </w:r>
      <w:r w:rsidRPr="00EF577A">
        <w:rPr>
          <w:color w:val="000000" w:themeColor="text1"/>
          <w:szCs w:val="22"/>
        </w:rPr>
        <w:t xml:space="preserve"> Complaint, ¶¶ 40-43.</w:t>
      </w:r>
    </w:p>
    <w:p w14:paraId="3AE72FCF"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5221D916" w14:textId="77777777" w:rsidR="00CA0CF8" w:rsidRPr="00EF577A" w:rsidRDefault="00CA0CF8" w:rsidP="00CA0CF8">
      <w:pPr>
        <w:widowControl w:val="0"/>
        <w:autoSpaceDE w:val="0"/>
        <w:autoSpaceDN w:val="0"/>
        <w:adjustRightInd w:val="0"/>
        <w:rPr>
          <w:color w:val="000000" w:themeColor="text1"/>
          <w:szCs w:val="22"/>
        </w:rPr>
      </w:pPr>
      <w:bookmarkStart w:id="123" w:name="co_pp_sp_999_4_1"/>
      <w:bookmarkEnd w:id="123"/>
      <w:r w:rsidRPr="00EF577A">
        <w:rPr>
          <w:color w:val="000000" w:themeColor="text1"/>
          <w:szCs w:val="22"/>
        </w:rPr>
        <w:lastRenderedPageBreak/>
        <w:t>True, Plaintiff does suggest that because the formerly uploaded content “persists” on Instagram’s systems (or is not “purged,” Complaint ¶ 27), the content of necessity will be exploited pursuant to the New Terms. But as Plaintiff’s counsel agreed at today’s hearing, such ‘persistence’ is both consistent with treatment under the Old Terms (which do not promise not to keep the content) and of course is consistent with the New Terms, to which Plaintiff agreed. Allegations of such persistence do not support an allegation of breach of any terms.</w:t>
      </w:r>
    </w:p>
    <w:p w14:paraId="7792065E"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380B3B23"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3. Harm</w:t>
      </w:r>
    </w:p>
    <w:p w14:paraId="21E87247"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Instagram contends that Plaintiffs breach of the implied covenant theory is also barred because she has not alleged harm arising out of the breach. Plaintiff argues that she has alleged diminished property rights, and that in any event actual damages are not necessary to state a claim for breach of contract. Opposition, 7-8.</w:t>
      </w:r>
    </w:p>
    <w:p w14:paraId="6D74C8F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344F586B"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Damages are an essential element for a breach of contract claim. </w:t>
      </w:r>
      <w:r w:rsidRPr="00EF577A">
        <w:rPr>
          <w:i/>
          <w:iCs/>
          <w:color w:val="000000" w:themeColor="text1"/>
          <w:szCs w:val="22"/>
        </w:rPr>
        <w:t xml:space="preserve">See </w:t>
      </w:r>
      <w:hyperlink r:id="rId116" w:anchor="co_pp_sp_4041_1352" w:history="1">
        <w:proofErr w:type="spellStart"/>
        <w:r w:rsidRPr="00EF577A">
          <w:rPr>
            <w:i/>
            <w:iCs/>
            <w:color w:val="000000" w:themeColor="text1"/>
            <w:szCs w:val="22"/>
          </w:rPr>
          <w:t>Troyk</w:t>
        </w:r>
        <w:proofErr w:type="spellEnd"/>
        <w:r w:rsidRPr="00EF577A">
          <w:rPr>
            <w:i/>
            <w:iCs/>
            <w:color w:val="000000" w:themeColor="text1"/>
            <w:szCs w:val="22"/>
          </w:rPr>
          <w:t xml:space="preserve"> v. Farmers Group, Inc.</w:t>
        </w:r>
        <w:r w:rsidRPr="00EF577A">
          <w:rPr>
            <w:color w:val="000000" w:themeColor="text1"/>
            <w:szCs w:val="22"/>
          </w:rPr>
          <w:t xml:space="preserve">, 171 </w:t>
        </w:r>
        <w:r w:rsidRPr="00EF577A">
          <w:rPr>
            <w:i/>
            <w:iCs/>
            <w:color w:val="000000" w:themeColor="text1"/>
            <w:szCs w:val="22"/>
          </w:rPr>
          <w:t>Cal.App.4th</w:t>
        </w:r>
        <w:r w:rsidRPr="00EF577A">
          <w:rPr>
            <w:color w:val="000000" w:themeColor="text1"/>
            <w:szCs w:val="22"/>
          </w:rPr>
          <w:t xml:space="preserve"> 1305, 1352 (2009)</w:t>
        </w:r>
      </w:hyperlink>
      <w:r w:rsidRPr="00EF577A">
        <w:rPr>
          <w:color w:val="000000" w:themeColor="text1"/>
          <w:szCs w:val="22"/>
        </w:rPr>
        <w:t xml:space="preserve">; </w:t>
      </w:r>
      <w:hyperlink r:id="rId117" w:anchor="co_pp_sp_226_913" w:history="1">
        <w:r w:rsidRPr="00EF577A">
          <w:rPr>
            <w:i/>
            <w:iCs/>
            <w:color w:val="000000" w:themeColor="text1"/>
            <w:szCs w:val="22"/>
          </w:rPr>
          <w:t xml:space="preserve">Acoustics Inc. v. </w:t>
        </w:r>
        <w:proofErr w:type="spellStart"/>
        <w:r w:rsidRPr="00EF577A">
          <w:rPr>
            <w:i/>
            <w:iCs/>
            <w:color w:val="000000" w:themeColor="text1"/>
            <w:szCs w:val="22"/>
          </w:rPr>
          <w:t>Trepte</w:t>
        </w:r>
        <w:proofErr w:type="spellEnd"/>
        <w:r w:rsidRPr="00EF577A">
          <w:rPr>
            <w:i/>
            <w:iCs/>
            <w:color w:val="000000" w:themeColor="text1"/>
            <w:szCs w:val="22"/>
          </w:rPr>
          <w:t xml:space="preserve"> Construction Co.</w:t>
        </w:r>
        <w:r w:rsidRPr="00EF577A">
          <w:rPr>
            <w:color w:val="000000" w:themeColor="text1"/>
            <w:szCs w:val="22"/>
          </w:rPr>
          <w:t>, 14 Cal.App.3d 887, 913 (1971)</w:t>
        </w:r>
      </w:hyperlink>
      <w:r w:rsidRPr="00EF577A">
        <w:rPr>
          <w:color w:val="000000" w:themeColor="text1"/>
          <w:szCs w:val="22"/>
        </w:rPr>
        <w:t xml:space="preserve">; </w:t>
      </w:r>
      <w:hyperlink r:id="rId118" w:history="1">
        <w:r w:rsidRPr="00EF577A">
          <w:rPr>
            <w:color w:val="000000" w:themeColor="text1"/>
            <w:szCs w:val="22"/>
          </w:rPr>
          <w:t>CACI No. 303</w:t>
        </w:r>
      </w:hyperlink>
      <w:r w:rsidRPr="00EF577A">
        <w:rPr>
          <w:color w:val="000000" w:themeColor="text1"/>
          <w:szCs w:val="22"/>
        </w:rPr>
        <w:t xml:space="preserve"> (2013). A breach of the implied covenant is necessarily a breach of contract. </w:t>
      </w:r>
      <w:hyperlink r:id="rId119" w:anchor="co_pp_sp_4041_885" w:history="1">
        <w:r w:rsidRPr="00EF577A">
          <w:rPr>
            <w:i/>
            <w:iCs/>
            <w:color w:val="000000" w:themeColor="text1"/>
            <w:szCs w:val="22"/>
          </w:rPr>
          <w:t>Digerati Holdings, LLC v. Young Money Entertainment, LLC</w:t>
        </w:r>
        <w:r w:rsidRPr="00EF577A">
          <w:rPr>
            <w:color w:val="000000" w:themeColor="text1"/>
            <w:szCs w:val="22"/>
          </w:rPr>
          <w:t xml:space="preserve">, 194 </w:t>
        </w:r>
        <w:r w:rsidRPr="00EF577A">
          <w:rPr>
            <w:i/>
            <w:iCs/>
            <w:color w:val="000000" w:themeColor="text1"/>
            <w:szCs w:val="22"/>
          </w:rPr>
          <w:t>Cal.App.4th</w:t>
        </w:r>
        <w:r w:rsidRPr="00EF577A">
          <w:rPr>
            <w:color w:val="000000" w:themeColor="text1"/>
            <w:szCs w:val="22"/>
          </w:rPr>
          <w:t xml:space="preserve"> 873, 885 (2011)</w:t>
        </w:r>
      </w:hyperlink>
      <w:r w:rsidRPr="00EF577A">
        <w:rPr>
          <w:color w:val="000000" w:themeColor="text1"/>
          <w:szCs w:val="22"/>
        </w:rPr>
        <w:t xml:space="preserve">. The damages element is the same. </w:t>
      </w:r>
      <w:r w:rsidRPr="00EF577A">
        <w:rPr>
          <w:i/>
          <w:iCs/>
          <w:color w:val="000000" w:themeColor="text1"/>
          <w:szCs w:val="22"/>
        </w:rPr>
        <w:t>Compare</w:t>
      </w:r>
      <w:r w:rsidRPr="00EF577A">
        <w:rPr>
          <w:color w:val="000000" w:themeColor="text1"/>
          <w:szCs w:val="22"/>
        </w:rPr>
        <w:t xml:space="preserve"> </w:t>
      </w:r>
      <w:hyperlink r:id="rId120" w:history="1">
        <w:r w:rsidRPr="00EF577A">
          <w:rPr>
            <w:color w:val="000000" w:themeColor="text1"/>
            <w:szCs w:val="22"/>
          </w:rPr>
          <w:t>CACI No. 303</w:t>
        </w:r>
      </w:hyperlink>
      <w:r w:rsidRPr="00EF577A">
        <w:rPr>
          <w:color w:val="000000" w:themeColor="text1"/>
          <w:szCs w:val="22"/>
        </w:rPr>
        <w:t xml:space="preserve"> (breach of contract element 5: “That [name of plaintiff] was harmed by that failure”); </w:t>
      </w:r>
      <w:hyperlink r:id="rId121" w:history="1">
        <w:r w:rsidRPr="00EF577A">
          <w:rPr>
            <w:color w:val="000000" w:themeColor="text1"/>
            <w:szCs w:val="22"/>
          </w:rPr>
          <w:t>CACI No. 325</w:t>
        </w:r>
      </w:hyperlink>
      <w:r w:rsidRPr="00EF577A">
        <w:rPr>
          <w:color w:val="000000" w:themeColor="text1"/>
          <w:szCs w:val="22"/>
        </w:rPr>
        <w:t xml:space="preserve"> (breach of covenant of good faith and fair dealing element 5: “That [name of plaintiff] was harmed by [name of defendant]’s conduct”).</w:t>
      </w:r>
    </w:p>
    <w:p w14:paraId="62FFD7DC"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0C090EB5"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The alleged harm arises from Instagram asserted “imminent plans” to sublicense Plaintiff’s pictures or other content she posted. Complaint, ¶ 30. This is not harm if Plaintiff agreed to the New Terms. And under the allegations of the Complaint, she did.</w:t>
      </w:r>
    </w:p>
    <w:p w14:paraId="5285EBED"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76B8C972"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xml:space="preserve">. . . </w:t>
      </w:r>
    </w:p>
    <w:p w14:paraId="2A151F43" w14:textId="77777777" w:rsidR="00CA0CF8" w:rsidRPr="00EF577A" w:rsidRDefault="00CA0CF8" w:rsidP="00CA0CF8">
      <w:pPr>
        <w:widowControl w:val="0"/>
        <w:autoSpaceDE w:val="0"/>
        <w:autoSpaceDN w:val="0"/>
        <w:adjustRightInd w:val="0"/>
        <w:rPr>
          <w:color w:val="000000" w:themeColor="text1"/>
          <w:szCs w:val="22"/>
        </w:rPr>
      </w:pPr>
      <w:r w:rsidRPr="00EF577A">
        <w:rPr>
          <w:color w:val="000000" w:themeColor="text1"/>
          <w:szCs w:val="22"/>
        </w:rPr>
        <w:t> </w:t>
      </w:r>
    </w:p>
    <w:p w14:paraId="075D2921" w14:textId="77777777" w:rsidR="00CA0CF8" w:rsidRPr="00EF577A" w:rsidRDefault="00CA0CF8" w:rsidP="00CA0CF8">
      <w:pPr>
        <w:widowControl w:val="0"/>
        <w:autoSpaceDE w:val="0"/>
        <w:autoSpaceDN w:val="0"/>
        <w:adjustRightInd w:val="0"/>
        <w:rPr>
          <w:b/>
          <w:bCs/>
          <w:color w:val="000000" w:themeColor="text1"/>
          <w:szCs w:val="22"/>
        </w:rPr>
      </w:pPr>
      <w:r w:rsidRPr="00EF577A">
        <w:rPr>
          <w:b/>
          <w:bCs/>
          <w:color w:val="000000" w:themeColor="text1"/>
          <w:szCs w:val="22"/>
        </w:rPr>
        <w:t>Conclusion</w:t>
      </w:r>
    </w:p>
    <w:p w14:paraId="1BFF9E06" w14:textId="77777777" w:rsidR="00CA0CF8" w:rsidRDefault="00CA0CF8" w:rsidP="00CA0CF8">
      <w:pPr>
        <w:widowControl w:val="0"/>
        <w:autoSpaceDE w:val="0"/>
        <w:autoSpaceDN w:val="0"/>
        <w:adjustRightInd w:val="0"/>
        <w:rPr>
          <w:color w:val="000000" w:themeColor="text1"/>
          <w:szCs w:val="22"/>
        </w:rPr>
      </w:pPr>
      <w:r w:rsidRPr="00EF577A">
        <w:rPr>
          <w:color w:val="000000" w:themeColor="text1"/>
          <w:szCs w:val="22"/>
        </w:rPr>
        <w:t>For the foregoing reasons, the demurrer is sustained without leave to amend.</w:t>
      </w:r>
    </w:p>
    <w:p w14:paraId="199674C5" w14:textId="77777777" w:rsidR="0021793A" w:rsidRDefault="0021793A" w:rsidP="00CA0CF8">
      <w:pPr>
        <w:widowControl w:val="0"/>
        <w:autoSpaceDE w:val="0"/>
        <w:autoSpaceDN w:val="0"/>
        <w:adjustRightInd w:val="0"/>
        <w:rPr>
          <w:color w:val="000000" w:themeColor="text1"/>
          <w:szCs w:val="22"/>
        </w:rPr>
      </w:pPr>
    </w:p>
    <w:p w14:paraId="3A036552" w14:textId="77777777" w:rsidR="0021793A" w:rsidRDefault="0021793A" w:rsidP="00CA0CF8">
      <w:pPr>
        <w:widowControl w:val="0"/>
        <w:autoSpaceDE w:val="0"/>
        <w:autoSpaceDN w:val="0"/>
        <w:adjustRightInd w:val="0"/>
        <w:rPr>
          <w:color w:val="000000" w:themeColor="text1"/>
          <w:szCs w:val="22"/>
        </w:rPr>
      </w:pPr>
    </w:p>
    <w:p w14:paraId="70415A40" w14:textId="77777777" w:rsidR="0021793A" w:rsidRDefault="0021793A" w:rsidP="00CA0CF8">
      <w:pPr>
        <w:widowControl w:val="0"/>
        <w:autoSpaceDE w:val="0"/>
        <w:autoSpaceDN w:val="0"/>
        <w:adjustRightInd w:val="0"/>
        <w:rPr>
          <w:color w:val="000000" w:themeColor="text1"/>
          <w:szCs w:val="22"/>
        </w:rPr>
      </w:pPr>
    </w:p>
    <w:p w14:paraId="26C6E5A5" w14:textId="77777777" w:rsidR="00723B80" w:rsidRPr="00EF577A" w:rsidRDefault="00723B80" w:rsidP="00723B80">
      <w:pPr>
        <w:widowControl w:val="0"/>
        <w:autoSpaceDE w:val="0"/>
        <w:autoSpaceDN w:val="0"/>
        <w:adjustRightInd w:val="0"/>
        <w:jc w:val="both"/>
        <w:rPr>
          <w:color w:val="000000"/>
          <w:szCs w:val="22"/>
        </w:rPr>
      </w:pPr>
    </w:p>
    <w:p w14:paraId="3764A5C3" w14:textId="77777777" w:rsidR="00723B80" w:rsidRPr="00EF577A" w:rsidRDefault="00723B80" w:rsidP="00723B80">
      <w:pPr>
        <w:widowControl w:val="0"/>
        <w:autoSpaceDE w:val="0"/>
        <w:autoSpaceDN w:val="0"/>
        <w:adjustRightInd w:val="0"/>
        <w:jc w:val="both"/>
        <w:rPr>
          <w:color w:val="000000"/>
          <w:szCs w:val="22"/>
        </w:rPr>
      </w:pPr>
    </w:p>
    <w:p w14:paraId="2B37F3DF" w14:textId="77777777" w:rsidR="00723B80" w:rsidRPr="00EF577A" w:rsidRDefault="00723B80" w:rsidP="00723B80">
      <w:pPr>
        <w:jc w:val="center"/>
        <w:outlineLvl w:val="0"/>
        <w:rPr>
          <w:color w:val="000000" w:themeColor="text1"/>
          <w:szCs w:val="22"/>
        </w:rPr>
      </w:pPr>
      <w:bookmarkStart w:id="124" w:name="_Toc139877352"/>
      <w:bookmarkStart w:id="125" w:name="_Toc146027184"/>
      <w:bookmarkStart w:id="126" w:name="_Toc186019892"/>
      <w:r w:rsidRPr="00EF577A">
        <w:rPr>
          <w:color w:val="000000" w:themeColor="text1"/>
          <w:szCs w:val="22"/>
        </w:rPr>
        <w:t>In Re: Capital One Consumer Data Security Breach Litigation</w:t>
      </w:r>
      <w:bookmarkEnd w:id="124"/>
      <w:bookmarkEnd w:id="125"/>
      <w:bookmarkEnd w:id="126"/>
    </w:p>
    <w:p w14:paraId="1C93772C" w14:textId="77777777" w:rsidR="00723B80" w:rsidRPr="00EF577A" w:rsidRDefault="00723B80" w:rsidP="00723B80">
      <w:pPr>
        <w:jc w:val="center"/>
        <w:rPr>
          <w:color w:val="000000" w:themeColor="text1"/>
          <w:szCs w:val="22"/>
        </w:rPr>
      </w:pPr>
      <w:r w:rsidRPr="00EF577A">
        <w:rPr>
          <w:color w:val="000000" w:themeColor="text1"/>
          <w:szCs w:val="22"/>
        </w:rPr>
        <w:t>488 F.Supp.3d 374 (2020)</w:t>
      </w:r>
    </w:p>
    <w:p w14:paraId="604F9F8F" w14:textId="77777777" w:rsidR="00723B80" w:rsidRPr="00EF577A" w:rsidRDefault="00723B80" w:rsidP="00723B80">
      <w:pPr>
        <w:jc w:val="center"/>
        <w:rPr>
          <w:color w:val="000000" w:themeColor="text1"/>
          <w:szCs w:val="22"/>
        </w:rPr>
      </w:pPr>
      <w:r w:rsidRPr="00EF577A">
        <w:rPr>
          <w:color w:val="000000" w:themeColor="text1"/>
          <w:szCs w:val="22"/>
        </w:rPr>
        <w:t>United States District Court, E.D. Virginia</w:t>
      </w:r>
    </w:p>
    <w:p w14:paraId="69A92336" w14:textId="77777777" w:rsidR="00723B80" w:rsidRPr="00EF577A" w:rsidRDefault="00723B80" w:rsidP="00723B80">
      <w:pPr>
        <w:jc w:val="center"/>
        <w:rPr>
          <w:color w:val="000000" w:themeColor="text1"/>
          <w:szCs w:val="22"/>
        </w:rPr>
      </w:pPr>
    </w:p>
    <w:p w14:paraId="18B8CEE6" w14:textId="77777777" w:rsidR="00723B80" w:rsidRPr="00EF577A" w:rsidRDefault="00723B80" w:rsidP="00723B80">
      <w:pPr>
        <w:jc w:val="both"/>
        <w:rPr>
          <w:color w:val="000000" w:themeColor="text1"/>
          <w:szCs w:val="22"/>
        </w:rPr>
      </w:pPr>
      <w:r w:rsidRPr="00EF577A">
        <w:rPr>
          <w:color w:val="000000" w:themeColor="text1"/>
          <w:szCs w:val="22"/>
        </w:rPr>
        <w:t>ANTHONY J. TRENGA, United States District Judge</w:t>
      </w:r>
    </w:p>
    <w:p w14:paraId="04E5FFD6" w14:textId="77777777" w:rsidR="00723B80" w:rsidRPr="00EF577A" w:rsidRDefault="00723B80" w:rsidP="00723B80">
      <w:pPr>
        <w:jc w:val="both"/>
        <w:rPr>
          <w:color w:val="000000" w:themeColor="text1"/>
          <w:szCs w:val="22"/>
        </w:rPr>
      </w:pPr>
    </w:p>
    <w:p w14:paraId="069463A7" w14:textId="77777777" w:rsidR="00723B80" w:rsidRPr="00EF577A" w:rsidRDefault="00723B80" w:rsidP="00723B80">
      <w:pPr>
        <w:jc w:val="both"/>
        <w:rPr>
          <w:color w:val="000000" w:themeColor="text1"/>
          <w:szCs w:val="22"/>
        </w:rPr>
      </w:pPr>
      <w:r w:rsidRPr="00EF577A">
        <w:rPr>
          <w:color w:val="000000" w:themeColor="text1"/>
          <w:szCs w:val="22"/>
        </w:rPr>
        <w:t xml:space="preserve">Defendants Capital One and Amazon have filed Motions to Dismiss the Amended Corrected Representative Complaint. [Doc. 386] (“Capital One Motion”); [Doc. 394] (“Amazon Motion”) (the “Motions”). </w:t>
      </w:r>
    </w:p>
    <w:p w14:paraId="05BFA5E9" w14:textId="77777777" w:rsidR="00723B80" w:rsidRPr="00EF577A" w:rsidRDefault="00723B80" w:rsidP="00723B80">
      <w:pPr>
        <w:jc w:val="both"/>
        <w:rPr>
          <w:color w:val="000000" w:themeColor="text1"/>
          <w:szCs w:val="22"/>
        </w:rPr>
      </w:pPr>
      <w:r w:rsidRPr="00EF577A">
        <w:rPr>
          <w:color w:val="000000" w:themeColor="text1"/>
          <w:szCs w:val="22"/>
        </w:rPr>
        <w:t>***</w:t>
      </w:r>
    </w:p>
    <w:p w14:paraId="244C7D84" w14:textId="77777777" w:rsidR="00723B80" w:rsidRPr="00EF577A" w:rsidRDefault="00723B80" w:rsidP="00723B80">
      <w:pPr>
        <w:jc w:val="center"/>
        <w:rPr>
          <w:color w:val="000000" w:themeColor="text1"/>
          <w:szCs w:val="22"/>
        </w:rPr>
      </w:pPr>
      <w:bookmarkStart w:id="127" w:name="co_anchor_Ib62ed451329d11edbae291366335"/>
      <w:r w:rsidRPr="00EF577A">
        <w:rPr>
          <w:b/>
          <w:color w:val="000000" w:themeColor="text1"/>
          <w:szCs w:val="22"/>
        </w:rPr>
        <w:t>I. BACKGROUND</w:t>
      </w:r>
    </w:p>
    <w:bookmarkEnd w:id="127"/>
    <w:p w14:paraId="2577E854" w14:textId="77777777" w:rsidR="00723B80" w:rsidRPr="00EF577A" w:rsidRDefault="00723B80" w:rsidP="00723B80">
      <w:pPr>
        <w:jc w:val="both"/>
        <w:rPr>
          <w:color w:val="000000" w:themeColor="text1"/>
          <w:szCs w:val="22"/>
        </w:rPr>
      </w:pPr>
    </w:p>
    <w:p w14:paraId="04189AE9" w14:textId="77777777" w:rsidR="00723B80" w:rsidRPr="00EF577A" w:rsidRDefault="00723B80" w:rsidP="00723B80">
      <w:pPr>
        <w:jc w:val="both"/>
        <w:rPr>
          <w:color w:val="000000" w:themeColor="text1"/>
          <w:szCs w:val="22"/>
        </w:rPr>
      </w:pPr>
      <w:r w:rsidRPr="00EF577A">
        <w:rPr>
          <w:color w:val="000000" w:themeColor="text1"/>
          <w:szCs w:val="22"/>
        </w:rPr>
        <w:t xml:space="preserve">The following facts are alleged in Plaintiff's Amended Corrected Representative Consumer Class Action Complaint [Doc. 826] (“Amended Complaint” or “Am. </w:t>
      </w:r>
      <w:proofErr w:type="spellStart"/>
      <w:r w:rsidRPr="00EF577A">
        <w:rPr>
          <w:color w:val="000000" w:themeColor="text1"/>
          <w:szCs w:val="22"/>
        </w:rPr>
        <w:t>Compl</w:t>
      </w:r>
      <w:proofErr w:type="spellEnd"/>
      <w:r w:rsidRPr="00EF577A">
        <w:rPr>
          <w:color w:val="000000" w:themeColor="text1"/>
          <w:szCs w:val="22"/>
        </w:rPr>
        <w:t>.”), which are accepted as true for purposes of this Order.</w:t>
      </w:r>
      <w:bookmarkStart w:id="128" w:name="co_fnRef_B00022051893074_ID0EZUDK_1"/>
      <w:r w:rsidRPr="00EF577A">
        <w:rPr>
          <w:color w:val="000000" w:themeColor="text1"/>
          <w:szCs w:val="22"/>
          <w:vertAlign w:val="superscript"/>
        </w:rPr>
        <w:t>2</w:t>
      </w:r>
      <w:bookmarkEnd w:id="128"/>
      <w:r w:rsidRPr="00EF577A">
        <w:rPr>
          <w:color w:val="000000" w:themeColor="text1"/>
          <w:szCs w:val="22"/>
        </w:rPr>
        <w:t xml:space="preserve"> </w:t>
      </w:r>
      <w:r w:rsidRPr="00EF577A">
        <w:rPr>
          <w:i/>
          <w:color w:val="000000" w:themeColor="text1"/>
          <w:szCs w:val="22"/>
        </w:rPr>
        <w:t>See Bell Atl. Corp. v. Twombly</w:t>
      </w:r>
      <w:r w:rsidRPr="00EF577A">
        <w:rPr>
          <w:color w:val="000000" w:themeColor="text1"/>
          <w:szCs w:val="22"/>
        </w:rPr>
        <w:t xml:space="preserve">, 550 U.S. 544, 555-56, 127 </w:t>
      </w:r>
      <w:proofErr w:type="spellStart"/>
      <w:r w:rsidRPr="00EF577A">
        <w:rPr>
          <w:color w:val="000000" w:themeColor="text1"/>
          <w:szCs w:val="22"/>
        </w:rPr>
        <w:t>S.Ct</w:t>
      </w:r>
      <w:proofErr w:type="spellEnd"/>
      <w:r w:rsidRPr="00EF577A">
        <w:rPr>
          <w:color w:val="000000" w:themeColor="text1"/>
          <w:szCs w:val="22"/>
        </w:rPr>
        <w:t>. 1955, 167 L.Ed.2d 929 (2007).</w:t>
      </w:r>
    </w:p>
    <w:p w14:paraId="3EFB9F8E" w14:textId="77777777" w:rsidR="00723B80" w:rsidRPr="00EF577A" w:rsidRDefault="00723B80" w:rsidP="00723B80">
      <w:pPr>
        <w:jc w:val="both"/>
        <w:rPr>
          <w:color w:val="000000" w:themeColor="text1"/>
          <w:szCs w:val="22"/>
        </w:rPr>
      </w:pPr>
      <w:r w:rsidRPr="00EF577A">
        <w:rPr>
          <w:color w:val="000000" w:themeColor="text1"/>
          <w:szCs w:val="22"/>
        </w:rPr>
        <w:t> </w:t>
      </w:r>
    </w:p>
    <w:p w14:paraId="5624EC4B" w14:textId="77777777" w:rsidR="00723B80" w:rsidRPr="00EF577A" w:rsidRDefault="00723B80" w:rsidP="00723B80">
      <w:pPr>
        <w:jc w:val="both"/>
        <w:rPr>
          <w:color w:val="000000" w:themeColor="text1"/>
          <w:szCs w:val="22"/>
        </w:rPr>
      </w:pPr>
      <w:r w:rsidRPr="00EF577A">
        <w:rPr>
          <w:color w:val="000000" w:themeColor="text1"/>
          <w:szCs w:val="22"/>
        </w:rPr>
        <w:t xml:space="preserve">On July 29, 2019, Capital One announced it had experienced a data breach of Capital One's Amazon Web Services (“AWS”) cloud environment where Capital One was storing consumers' confidential personal information (“PII”) (the “Data Breach”). The Data Breach was the result of a well-known vulnerability of the AWS cloud to an SSRF attack. </w:t>
      </w:r>
      <w:r w:rsidRPr="00EF577A">
        <w:rPr>
          <w:i/>
          <w:color w:val="000000" w:themeColor="text1"/>
          <w:szCs w:val="22"/>
        </w:rPr>
        <w:t>See id.</w:t>
      </w:r>
      <w:r w:rsidRPr="00EF577A">
        <w:rPr>
          <w:color w:val="000000" w:themeColor="text1"/>
          <w:szCs w:val="22"/>
        </w:rPr>
        <w:t xml:space="preserve"> ¶¶ 2, 46-61. Over 100 million people in the United States and six million people in Canada were affected. Am. </w:t>
      </w:r>
      <w:proofErr w:type="spellStart"/>
      <w:r w:rsidRPr="00EF577A">
        <w:rPr>
          <w:color w:val="000000" w:themeColor="text1"/>
          <w:szCs w:val="22"/>
        </w:rPr>
        <w:t>Compl</w:t>
      </w:r>
      <w:proofErr w:type="spellEnd"/>
      <w:r w:rsidRPr="00EF577A">
        <w:rPr>
          <w:color w:val="000000" w:themeColor="text1"/>
          <w:szCs w:val="22"/>
        </w:rPr>
        <w:t>. ¶¶ 1, 62. Amazon has described the Data Breach through this alleged SSRF breach as follows:</w:t>
      </w:r>
    </w:p>
    <w:p w14:paraId="6189CDB0" w14:textId="77777777" w:rsidR="00723B80" w:rsidRPr="00EF577A" w:rsidRDefault="00723B80" w:rsidP="00723B80">
      <w:pPr>
        <w:jc w:val="both"/>
        <w:rPr>
          <w:color w:val="000000" w:themeColor="text1"/>
          <w:szCs w:val="22"/>
        </w:rPr>
      </w:pPr>
      <w:r w:rsidRPr="00EF577A">
        <w:rPr>
          <w:color w:val="000000" w:themeColor="text1"/>
          <w:szCs w:val="22"/>
        </w:rPr>
        <w:t>As Capital One outlined in their public announcement, the attack occurred due to a misconfiguration error at the application layer of a firewall installed by Capital One, exacerbated by permissions set by Capital One that were likely broader than intended. After gaining access through the misconfigured firewall and having broader permission to access resources, we believe a SSRF attack was used (which is one of several ways an attacker could have potentially gotten access to data once they got in through the misconfigured firewall).</w:t>
      </w:r>
    </w:p>
    <w:p w14:paraId="7EA4CDF9" w14:textId="77777777" w:rsidR="00723B80" w:rsidRPr="00EF577A" w:rsidRDefault="00723B80" w:rsidP="00723B80">
      <w:pPr>
        <w:jc w:val="both"/>
        <w:rPr>
          <w:color w:val="000000" w:themeColor="text1"/>
          <w:szCs w:val="22"/>
        </w:rPr>
      </w:pPr>
      <w:r w:rsidRPr="00EF577A">
        <w:rPr>
          <w:i/>
          <w:color w:val="000000" w:themeColor="text1"/>
          <w:szCs w:val="22"/>
        </w:rPr>
        <w:t>Id.</w:t>
      </w:r>
      <w:r w:rsidRPr="00EF577A">
        <w:rPr>
          <w:color w:val="000000" w:themeColor="text1"/>
          <w:szCs w:val="22"/>
        </w:rPr>
        <w:t xml:space="preserve"> ¶ 70.</w:t>
      </w:r>
    </w:p>
    <w:p w14:paraId="137EBF06" w14:textId="77777777" w:rsidR="00723B80" w:rsidRPr="00EF577A" w:rsidRDefault="00723B80" w:rsidP="00723B80">
      <w:pPr>
        <w:jc w:val="both"/>
        <w:rPr>
          <w:color w:val="000000" w:themeColor="text1"/>
          <w:szCs w:val="22"/>
        </w:rPr>
      </w:pPr>
      <w:r w:rsidRPr="00EF577A">
        <w:rPr>
          <w:color w:val="000000" w:themeColor="text1"/>
          <w:szCs w:val="22"/>
        </w:rPr>
        <w:t> </w:t>
      </w:r>
    </w:p>
    <w:p w14:paraId="0072FC83" w14:textId="77777777" w:rsidR="00723B80" w:rsidRPr="00EF577A" w:rsidRDefault="00723B80" w:rsidP="00723B80">
      <w:pPr>
        <w:jc w:val="both"/>
        <w:rPr>
          <w:color w:val="000000" w:themeColor="text1"/>
          <w:szCs w:val="22"/>
        </w:rPr>
      </w:pPr>
      <w:r w:rsidRPr="00EF577A">
        <w:rPr>
          <w:color w:val="000000" w:themeColor="text1"/>
          <w:szCs w:val="22"/>
        </w:rPr>
        <w:t xml:space="preserve">Despite the sophisticated nature of the hack, </w:t>
      </w:r>
      <w:r w:rsidRPr="00EF577A">
        <w:rPr>
          <w:i/>
          <w:color w:val="000000" w:themeColor="text1"/>
          <w:szCs w:val="22"/>
        </w:rPr>
        <w:t>id.</w:t>
      </w:r>
      <w:r w:rsidRPr="00EF577A">
        <w:rPr>
          <w:color w:val="000000" w:themeColor="text1"/>
          <w:szCs w:val="22"/>
        </w:rPr>
        <w:t xml:space="preserve"> ¶ 72, Defendants were well-aware of the AWS cloud's vulnerabilities to unauthorized access through a SSRF attack, </w:t>
      </w:r>
      <w:r w:rsidRPr="00EF577A">
        <w:rPr>
          <w:i/>
          <w:color w:val="000000" w:themeColor="text1"/>
          <w:szCs w:val="22"/>
        </w:rPr>
        <w:t>Id.</w:t>
      </w:r>
      <w:r w:rsidRPr="00EF577A">
        <w:rPr>
          <w:color w:val="000000" w:themeColor="text1"/>
          <w:szCs w:val="22"/>
        </w:rPr>
        <w:t xml:space="preserve"> ¶¶ 46-49. Nevertheless, Capital One chose to place and aggregate its most sensitive consumer information on these susceptible servers and behind AWS's flawed firewall, </w:t>
      </w:r>
      <w:r w:rsidRPr="00EF577A">
        <w:rPr>
          <w:i/>
          <w:color w:val="000000" w:themeColor="text1"/>
          <w:szCs w:val="22"/>
        </w:rPr>
        <w:t>Id.</w:t>
      </w:r>
      <w:r w:rsidRPr="00EF577A">
        <w:rPr>
          <w:color w:val="000000" w:themeColor="text1"/>
          <w:szCs w:val="22"/>
        </w:rPr>
        <w:t xml:space="preserve"> ¶¶ 44, 47-50, and in an attempt to protect against this vulnerability, Capital One and Amazon jointly developed a product called Cloud Custodian, whose purpose was to address the SSRF threat by encrypting data on the AWS servers. </w:t>
      </w:r>
      <w:r w:rsidRPr="00EF577A">
        <w:rPr>
          <w:i/>
          <w:color w:val="000000" w:themeColor="text1"/>
          <w:szCs w:val="22"/>
        </w:rPr>
        <w:t>Id.</w:t>
      </w:r>
      <w:r w:rsidRPr="00EF577A">
        <w:rPr>
          <w:color w:val="000000" w:themeColor="text1"/>
          <w:szCs w:val="22"/>
        </w:rPr>
        <w:t xml:space="preserve"> ¶¶ 56-58. But these efforts were inadequate to secure Capital One customers' data. </w:t>
      </w:r>
      <w:r w:rsidRPr="00EF577A">
        <w:rPr>
          <w:i/>
          <w:color w:val="000000" w:themeColor="text1"/>
          <w:szCs w:val="22"/>
        </w:rPr>
        <w:t>Id.</w:t>
      </w:r>
      <w:r w:rsidRPr="00EF577A">
        <w:rPr>
          <w:color w:val="000000" w:themeColor="text1"/>
          <w:szCs w:val="22"/>
        </w:rPr>
        <w:t xml:space="preserve"> ¶ 58. Indeed, if an unauthorized individual were able to gain access to a credential in the AWS cloud environment, known technically as an “Identity Access Management” role, the credential would allow the unauthorized individual broad access beyond the firewall protecting the cloud and automatic decryption of the data stored in the cloud. </w:t>
      </w:r>
      <w:r w:rsidRPr="00EF577A">
        <w:rPr>
          <w:i/>
          <w:color w:val="000000" w:themeColor="text1"/>
          <w:szCs w:val="22"/>
        </w:rPr>
        <w:t>Id.</w:t>
      </w:r>
      <w:r w:rsidRPr="00EF577A">
        <w:rPr>
          <w:color w:val="000000" w:themeColor="text1"/>
          <w:szCs w:val="22"/>
        </w:rPr>
        <w:t xml:space="preserve"> ¶¶ 47-54, 58-61. In other words, once in the AWS server environment, any individual could access, in Capital One's internal servers an aggregated collection of customers' PII (a data lake), the precise vulnerability exploited to exfiltrate Capital One's customer data in the Data Breach. </w:t>
      </w:r>
      <w:r w:rsidRPr="00EF577A">
        <w:rPr>
          <w:i/>
          <w:color w:val="000000" w:themeColor="text1"/>
          <w:szCs w:val="22"/>
        </w:rPr>
        <w:t>See id.</w:t>
      </w:r>
      <w:r w:rsidRPr="00EF577A">
        <w:rPr>
          <w:color w:val="000000" w:themeColor="text1"/>
          <w:szCs w:val="22"/>
        </w:rPr>
        <w:t xml:space="preserve"> ¶¶ 65-73.</w:t>
      </w:r>
    </w:p>
    <w:p w14:paraId="564DCAF6" w14:textId="77777777" w:rsidR="00723B80" w:rsidRPr="00EF577A" w:rsidRDefault="00723B80" w:rsidP="00723B80">
      <w:pPr>
        <w:jc w:val="both"/>
        <w:rPr>
          <w:color w:val="000000" w:themeColor="text1"/>
          <w:szCs w:val="22"/>
        </w:rPr>
      </w:pPr>
      <w:r w:rsidRPr="00EF577A">
        <w:rPr>
          <w:color w:val="000000" w:themeColor="text1"/>
          <w:szCs w:val="22"/>
        </w:rPr>
        <w:t> </w:t>
      </w:r>
    </w:p>
    <w:p w14:paraId="01702101" w14:textId="77777777" w:rsidR="00723B80" w:rsidRPr="00EF577A" w:rsidRDefault="00723B80" w:rsidP="00723B80">
      <w:pPr>
        <w:jc w:val="both"/>
        <w:rPr>
          <w:color w:val="000000" w:themeColor="text1"/>
          <w:szCs w:val="22"/>
        </w:rPr>
      </w:pPr>
      <w:r w:rsidRPr="00EF577A">
        <w:rPr>
          <w:color w:val="000000" w:themeColor="text1"/>
          <w:szCs w:val="22"/>
        </w:rPr>
        <w:t xml:space="preserve">The Data Breach's occurrence is well documented. Capital One's logs showed a hacker's connections or attempted connections to the AWS server in March and April 2019. However, it was not until July 17, 2019, approximately four months after the Data Breach, that Capital One received an e-mail through its responsible disclosure program raising the possibility that someone had stolen data stored in Capital One's AWS cloud environment. </w:t>
      </w:r>
      <w:r w:rsidRPr="00EF577A">
        <w:rPr>
          <w:i/>
          <w:color w:val="000000" w:themeColor="text1"/>
          <w:szCs w:val="22"/>
        </w:rPr>
        <w:t>Id.</w:t>
      </w:r>
      <w:r w:rsidRPr="00EF577A">
        <w:rPr>
          <w:color w:val="000000" w:themeColor="text1"/>
          <w:szCs w:val="22"/>
        </w:rPr>
        <w:t xml:space="preserve"> ¶¶ 64-65. Shortly thereafter, the person accused of perpetrating the attack, former AWS systems engineer Paige Thompson, was arrested and indicted in federal court. As alleged in the criminal complaint, Thompson gained unauthorized access to Capital One's AWS environment primarily by exploiting a Web Application Firewall (“WAF”) that monitored traffic to and from Capital One's AWS cloud environment. </w:t>
      </w:r>
      <w:r w:rsidRPr="00EF577A">
        <w:rPr>
          <w:i/>
          <w:color w:val="000000" w:themeColor="text1"/>
          <w:szCs w:val="22"/>
        </w:rPr>
        <w:t>Id.</w:t>
      </w:r>
      <w:r w:rsidRPr="00EF577A">
        <w:rPr>
          <w:color w:val="000000" w:themeColor="text1"/>
          <w:szCs w:val="22"/>
        </w:rPr>
        <w:t xml:space="preserve"> ¶¶ 65, 67. By exploiting the WAF, </w:t>
      </w:r>
      <w:r w:rsidRPr="00EF577A">
        <w:rPr>
          <w:color w:val="000000" w:themeColor="text1"/>
          <w:szCs w:val="22"/>
        </w:rPr>
        <w:lastRenderedPageBreak/>
        <w:t xml:space="preserve">Thompson was able to retrieve, access, and exfiltrate data from a portion of the AWS Simple Storage Service buckets in Capital One's AWS environment. </w:t>
      </w:r>
      <w:r w:rsidRPr="00EF577A">
        <w:rPr>
          <w:i/>
          <w:color w:val="000000" w:themeColor="text1"/>
          <w:szCs w:val="22"/>
        </w:rPr>
        <w:t>Id.</w:t>
      </w:r>
      <w:r w:rsidRPr="00EF577A">
        <w:rPr>
          <w:color w:val="000000" w:themeColor="text1"/>
          <w:szCs w:val="22"/>
        </w:rPr>
        <w:t xml:space="preserve"> ¶ 67. Thompson ultimately stole approximately 1.75 terabytes of data on March 22-23, 2019. In addition to the access on March 22, 2019 and 23, 2019, Thompson had also scanned, probed, or accessed Capital One's network on five (5) further instances over a three-month period: March 4, March 12, April 2, April 19, and May 26, 2019.</w:t>
      </w:r>
    </w:p>
    <w:p w14:paraId="45AED5F1" w14:textId="77777777" w:rsidR="00723B80" w:rsidRPr="00EF577A" w:rsidRDefault="00723B80" w:rsidP="00723B80">
      <w:pPr>
        <w:jc w:val="both"/>
        <w:rPr>
          <w:color w:val="000000" w:themeColor="text1"/>
          <w:szCs w:val="22"/>
        </w:rPr>
      </w:pPr>
      <w:r w:rsidRPr="00EF577A">
        <w:rPr>
          <w:color w:val="000000" w:themeColor="text1"/>
          <w:szCs w:val="22"/>
        </w:rPr>
        <w:t> </w:t>
      </w:r>
    </w:p>
    <w:p w14:paraId="5F524954" w14:textId="77777777" w:rsidR="00723B80" w:rsidRPr="00EF577A" w:rsidRDefault="00723B80" w:rsidP="00723B80">
      <w:pPr>
        <w:jc w:val="both"/>
        <w:rPr>
          <w:color w:val="000000" w:themeColor="text1"/>
          <w:szCs w:val="22"/>
        </w:rPr>
      </w:pPr>
      <w:r w:rsidRPr="00EF577A">
        <w:rPr>
          <w:i/>
          <w:color w:val="000000" w:themeColor="text1"/>
          <w:szCs w:val="22"/>
        </w:rPr>
        <w:t>Id.</w:t>
      </w:r>
      <w:r w:rsidRPr="00EF577A">
        <w:rPr>
          <w:color w:val="000000" w:themeColor="text1"/>
          <w:szCs w:val="22"/>
        </w:rPr>
        <w:t xml:space="preserve"> ¶ 74. And as further detailed in the criminal complaint, on April 21, 2019, Thompson publicly posted on </w:t>
      </w:r>
      <w:proofErr w:type="spellStart"/>
      <w:r w:rsidRPr="00EF577A">
        <w:rPr>
          <w:color w:val="000000" w:themeColor="text1"/>
          <w:szCs w:val="22"/>
        </w:rPr>
        <w:t>Github</w:t>
      </w:r>
      <w:proofErr w:type="spellEnd"/>
      <w:r w:rsidRPr="00EF577A">
        <w:rPr>
          <w:color w:val="000000" w:themeColor="text1"/>
          <w:szCs w:val="22"/>
        </w:rPr>
        <w:t xml:space="preserve"> instructions on how she carried out the SSRF attack. </w:t>
      </w:r>
      <w:r w:rsidRPr="00EF577A">
        <w:rPr>
          <w:i/>
          <w:color w:val="000000" w:themeColor="text1"/>
          <w:szCs w:val="22"/>
        </w:rPr>
        <w:t>Id.</w:t>
      </w:r>
      <w:r w:rsidRPr="00EF577A">
        <w:rPr>
          <w:color w:val="000000" w:themeColor="text1"/>
          <w:szCs w:val="22"/>
        </w:rPr>
        <w:t xml:space="preserve"> Thompson then posted openly on Twitter and on public Slack channels over the course of several months that she found huge files of data intended to be secured on various AWS cloud servers—including the cloud server for Capital One. </w:t>
      </w:r>
      <w:r w:rsidRPr="00EF577A">
        <w:rPr>
          <w:i/>
          <w:color w:val="000000" w:themeColor="text1"/>
          <w:szCs w:val="22"/>
        </w:rPr>
        <w:t>Id.</w:t>
      </w:r>
      <w:r w:rsidRPr="00EF577A">
        <w:rPr>
          <w:color w:val="000000" w:themeColor="text1"/>
          <w:szCs w:val="22"/>
        </w:rPr>
        <w:t xml:space="preserve"> ¶¶ 78-82.</w:t>
      </w:r>
    </w:p>
    <w:p w14:paraId="72D40B75" w14:textId="77777777" w:rsidR="00723B80" w:rsidRPr="00EF577A" w:rsidRDefault="00723B80" w:rsidP="00723B80">
      <w:pPr>
        <w:jc w:val="both"/>
        <w:rPr>
          <w:color w:val="000000" w:themeColor="text1"/>
          <w:szCs w:val="22"/>
        </w:rPr>
      </w:pPr>
      <w:r w:rsidRPr="00EF577A">
        <w:rPr>
          <w:color w:val="000000" w:themeColor="text1"/>
          <w:szCs w:val="22"/>
        </w:rPr>
        <w:t> </w:t>
      </w:r>
    </w:p>
    <w:p w14:paraId="4BC86F94" w14:textId="77777777" w:rsidR="00723B80" w:rsidRPr="00EF577A" w:rsidRDefault="00723B80" w:rsidP="00723B80">
      <w:pPr>
        <w:jc w:val="both"/>
        <w:rPr>
          <w:color w:val="000000" w:themeColor="text1"/>
          <w:szCs w:val="22"/>
        </w:rPr>
      </w:pPr>
      <w:r w:rsidRPr="00EF577A">
        <w:rPr>
          <w:color w:val="000000" w:themeColor="text1"/>
          <w:szCs w:val="22"/>
        </w:rPr>
        <w:t xml:space="preserve">Plaintiffs seek to represent a putative nationwide class of all individuals whose personal information was compromised in the Data Breach, </w:t>
      </w:r>
      <w:r w:rsidRPr="00EF577A">
        <w:rPr>
          <w:i/>
          <w:color w:val="000000" w:themeColor="text1"/>
          <w:szCs w:val="22"/>
        </w:rPr>
        <w:t>id.</w:t>
      </w:r>
      <w:r w:rsidRPr="00EF577A">
        <w:rPr>
          <w:color w:val="000000" w:themeColor="text1"/>
          <w:szCs w:val="22"/>
        </w:rPr>
        <w:t xml:space="preserve"> ¶ 146, as well as statewide subclasses of affected individuals in California, Florida, New York, Texas, Virginia, and Washington, </w:t>
      </w:r>
      <w:r w:rsidRPr="00EF577A">
        <w:rPr>
          <w:i/>
          <w:color w:val="000000" w:themeColor="text1"/>
          <w:szCs w:val="22"/>
        </w:rPr>
        <w:t>id.</w:t>
      </w:r>
      <w:r w:rsidRPr="00EF577A">
        <w:rPr>
          <w:color w:val="000000" w:themeColor="text1"/>
          <w:szCs w:val="22"/>
        </w:rPr>
        <w:t xml:space="preserve"> ¶ 148. Plaintiffs allege that, as a result of the Data Breach, they suffered various harms including mitigation efforts or expenses (such as time and money spent placing credit freezes on their accounts, setting up credit alerts, and purchasing credit monitoring), diminution in the value of their personal information, and increased risk of future identity theft or other fraud. </w:t>
      </w:r>
      <w:r w:rsidRPr="00EF577A">
        <w:rPr>
          <w:i/>
          <w:color w:val="000000" w:themeColor="text1"/>
          <w:szCs w:val="22"/>
        </w:rPr>
        <w:t>See</w:t>
      </w:r>
      <w:r w:rsidRPr="00EF577A">
        <w:rPr>
          <w:color w:val="000000" w:themeColor="text1"/>
          <w:szCs w:val="22"/>
        </w:rPr>
        <w:t xml:space="preserve"> Am. </w:t>
      </w:r>
      <w:proofErr w:type="spellStart"/>
      <w:r w:rsidRPr="00EF577A">
        <w:rPr>
          <w:color w:val="000000" w:themeColor="text1"/>
          <w:szCs w:val="22"/>
        </w:rPr>
        <w:t>Compl</w:t>
      </w:r>
      <w:proofErr w:type="spellEnd"/>
      <w:r w:rsidRPr="00EF577A">
        <w:rPr>
          <w:color w:val="000000" w:themeColor="text1"/>
          <w:szCs w:val="22"/>
        </w:rPr>
        <w:t xml:space="preserve">. ¶¶ 18-27, 142. Plaintiffs also allege they “did not receive the benefit of their bargain” because, had they known the “truth” about Capital One's “data security practices,” they would not have applied for Capital One credit cards or been willing to pay as much as they did for Capital One's services. </w:t>
      </w:r>
      <w:r w:rsidRPr="00EF577A">
        <w:rPr>
          <w:i/>
          <w:color w:val="000000" w:themeColor="text1"/>
          <w:szCs w:val="22"/>
        </w:rPr>
        <w:t>Id.</w:t>
      </w:r>
      <w:r w:rsidRPr="00EF577A">
        <w:rPr>
          <w:color w:val="000000" w:themeColor="text1"/>
          <w:szCs w:val="22"/>
        </w:rPr>
        <w:t xml:space="preserve"> ¶ 145. Finally, a subset of seven Plaintiffs—plaintiffs Behar, Gershen, Palencia, Spacek, Sharp, Tada, and </w:t>
      </w:r>
      <w:proofErr w:type="spellStart"/>
      <w:r w:rsidRPr="00EF577A">
        <w:rPr>
          <w:color w:val="000000" w:themeColor="text1"/>
          <w:szCs w:val="22"/>
        </w:rPr>
        <w:t>Zielicke</w:t>
      </w:r>
      <w:proofErr w:type="spellEnd"/>
      <w:r w:rsidRPr="00EF577A">
        <w:rPr>
          <w:color w:val="000000" w:themeColor="text1"/>
          <w:szCs w:val="22"/>
        </w:rPr>
        <w:t xml:space="preserve">—allege that they “experienced identity theft and fraud,” </w:t>
      </w:r>
      <w:r w:rsidRPr="00EF577A">
        <w:rPr>
          <w:i/>
          <w:color w:val="000000" w:themeColor="text1"/>
          <w:szCs w:val="22"/>
        </w:rPr>
        <w:t>id.</w:t>
      </w:r>
      <w:r w:rsidRPr="00EF577A">
        <w:rPr>
          <w:color w:val="000000" w:themeColor="text1"/>
          <w:szCs w:val="22"/>
        </w:rPr>
        <w:t xml:space="preserve"> ¶¶ 20, 21, 23, 27, or have identified unauthorized activity on their accounts, such as unauthorized charges or attempts to open new accounts after the Data Breach, </w:t>
      </w:r>
      <w:r w:rsidRPr="00EF577A">
        <w:rPr>
          <w:i/>
          <w:color w:val="000000" w:themeColor="text1"/>
          <w:szCs w:val="22"/>
        </w:rPr>
        <w:t>id.</w:t>
      </w:r>
      <w:r w:rsidRPr="00EF577A">
        <w:rPr>
          <w:color w:val="000000" w:themeColor="text1"/>
          <w:szCs w:val="22"/>
        </w:rPr>
        <w:t xml:space="preserve"> ¶¶ 19, 24, 26.</w:t>
      </w:r>
    </w:p>
    <w:p w14:paraId="636D6624" w14:textId="77777777" w:rsidR="00723B80" w:rsidRPr="00EF577A" w:rsidRDefault="00723B80" w:rsidP="00723B80">
      <w:pPr>
        <w:jc w:val="both"/>
        <w:rPr>
          <w:color w:val="000000" w:themeColor="text1"/>
          <w:szCs w:val="22"/>
        </w:rPr>
      </w:pPr>
      <w:r w:rsidRPr="00EF577A">
        <w:rPr>
          <w:color w:val="000000" w:themeColor="text1"/>
          <w:szCs w:val="22"/>
        </w:rPr>
        <w:t> </w:t>
      </w:r>
    </w:p>
    <w:p w14:paraId="76F46A10" w14:textId="77777777" w:rsidR="00723B80" w:rsidRPr="00EF577A" w:rsidRDefault="00723B80" w:rsidP="00723B80">
      <w:pPr>
        <w:jc w:val="both"/>
        <w:rPr>
          <w:color w:val="000000" w:themeColor="text1"/>
          <w:szCs w:val="22"/>
        </w:rPr>
      </w:pPr>
      <w:r w:rsidRPr="00EF577A">
        <w:rPr>
          <w:color w:val="000000" w:themeColor="text1"/>
          <w:szCs w:val="22"/>
        </w:rPr>
        <w:t xml:space="preserve">In its Amended Complaint, Plaintiffs asserts the following seven (7) causes of action on behalf of a putative nationwide class of all persons whose PII was compromised in the Data Breach: (1) negligence (Count 1); (2) negligence </w:t>
      </w:r>
      <w:r w:rsidRPr="00EF577A">
        <w:rPr>
          <w:i/>
          <w:color w:val="000000" w:themeColor="text1"/>
          <w:szCs w:val="22"/>
        </w:rPr>
        <w:t>per se</w:t>
      </w:r>
      <w:r w:rsidRPr="00EF577A">
        <w:rPr>
          <w:color w:val="000000" w:themeColor="text1"/>
          <w:szCs w:val="22"/>
        </w:rPr>
        <w:t xml:space="preserve"> (Count 2); (3) unjust enrichment (Count 3); (4) declaratory judgment (Count 4);</w:t>
      </w:r>
      <w:bookmarkStart w:id="129" w:name="co_fnRef_B00042051893074_ID0E1AEK_1"/>
      <w:r w:rsidRPr="00EF577A">
        <w:rPr>
          <w:color w:val="000000" w:themeColor="text1"/>
          <w:szCs w:val="22"/>
          <w:vertAlign w:val="superscript"/>
        </w:rPr>
        <w:t>4</w:t>
      </w:r>
      <w:bookmarkEnd w:id="129"/>
      <w:r w:rsidRPr="00EF577A">
        <w:rPr>
          <w:color w:val="000000" w:themeColor="text1"/>
          <w:szCs w:val="22"/>
        </w:rPr>
        <w:t xml:space="preserve"> (5) breach of confidence (Count 5); (6) breach of implied contract (Count 6); and (7) breach of contract (Count 7).</w:t>
      </w:r>
      <w:bookmarkStart w:id="130" w:name="co_fnRef_B00052051893074_ID0EDBEK_1"/>
      <w:r w:rsidRPr="00EF577A">
        <w:rPr>
          <w:color w:val="000000" w:themeColor="text1"/>
          <w:szCs w:val="22"/>
          <w:vertAlign w:val="superscript"/>
        </w:rPr>
        <w:t>5</w:t>
      </w:r>
      <w:bookmarkEnd w:id="130"/>
      <w:r w:rsidRPr="00EF577A">
        <w:rPr>
          <w:color w:val="000000" w:themeColor="text1"/>
          <w:szCs w:val="22"/>
        </w:rPr>
        <w:t xml:space="preserve"> Am. </w:t>
      </w:r>
      <w:proofErr w:type="spellStart"/>
      <w:r w:rsidRPr="00EF577A">
        <w:rPr>
          <w:color w:val="000000" w:themeColor="text1"/>
          <w:szCs w:val="22"/>
        </w:rPr>
        <w:t>Compl</w:t>
      </w:r>
      <w:proofErr w:type="spellEnd"/>
      <w:r w:rsidRPr="00EF577A">
        <w:rPr>
          <w:color w:val="000000" w:themeColor="text1"/>
          <w:szCs w:val="22"/>
        </w:rPr>
        <w:t>. ¶¶ 160-229. The Amended Complaint also asserts claims under California, Florida,</w:t>
      </w:r>
      <w:bookmarkStart w:id="131" w:name="co_fnRef_B00062051893074_ID0ENBEK_1"/>
      <w:r w:rsidRPr="00EF577A">
        <w:rPr>
          <w:color w:val="000000" w:themeColor="text1"/>
          <w:szCs w:val="22"/>
          <w:vertAlign w:val="superscript"/>
        </w:rPr>
        <w:t>6</w:t>
      </w:r>
      <w:bookmarkEnd w:id="131"/>
      <w:r w:rsidRPr="00EF577A">
        <w:rPr>
          <w:color w:val="000000" w:themeColor="text1"/>
          <w:szCs w:val="22"/>
        </w:rPr>
        <w:t xml:space="preserve"> New York, Texas, and Washington consumer protection statutes and Virginia and Washington data breach notification statutes (Counts 8-15). </w:t>
      </w:r>
      <w:r w:rsidRPr="00EF577A">
        <w:rPr>
          <w:i/>
          <w:color w:val="000000" w:themeColor="text1"/>
          <w:szCs w:val="22"/>
        </w:rPr>
        <w:t>Id.</w:t>
      </w:r>
      <w:r w:rsidRPr="00EF577A">
        <w:rPr>
          <w:color w:val="000000" w:themeColor="text1"/>
          <w:szCs w:val="22"/>
        </w:rPr>
        <w:t xml:space="preserve"> ¶¶ 230-310.</w:t>
      </w:r>
    </w:p>
    <w:p w14:paraId="1995D2BD" w14:textId="77777777" w:rsidR="00723B80" w:rsidRPr="00EF577A" w:rsidRDefault="00723B80" w:rsidP="00723B80">
      <w:pPr>
        <w:jc w:val="both"/>
        <w:rPr>
          <w:color w:val="000000" w:themeColor="text1"/>
          <w:szCs w:val="22"/>
        </w:rPr>
      </w:pPr>
      <w:r w:rsidRPr="00EF577A">
        <w:rPr>
          <w:color w:val="000000" w:themeColor="text1"/>
          <w:szCs w:val="22"/>
        </w:rPr>
        <w:t> </w:t>
      </w:r>
    </w:p>
    <w:p w14:paraId="23C257EE" w14:textId="77777777" w:rsidR="00723B80" w:rsidRPr="00EF577A" w:rsidRDefault="00723B80" w:rsidP="00723B80">
      <w:pPr>
        <w:jc w:val="both"/>
        <w:rPr>
          <w:color w:val="000000" w:themeColor="text1"/>
          <w:szCs w:val="22"/>
        </w:rPr>
      </w:pPr>
    </w:p>
    <w:p w14:paraId="71B412EF" w14:textId="77777777" w:rsidR="00723B80" w:rsidRPr="00EF577A" w:rsidRDefault="00723B80" w:rsidP="00723B80">
      <w:pPr>
        <w:jc w:val="both"/>
        <w:rPr>
          <w:color w:val="000000" w:themeColor="text1"/>
          <w:szCs w:val="22"/>
        </w:rPr>
      </w:pPr>
      <w:r w:rsidRPr="00EF577A">
        <w:rPr>
          <w:color w:val="000000" w:themeColor="text1"/>
          <w:szCs w:val="22"/>
        </w:rPr>
        <w:t>***</w:t>
      </w:r>
    </w:p>
    <w:p w14:paraId="244753FC" w14:textId="77777777" w:rsidR="00723B80" w:rsidRPr="00EF577A" w:rsidRDefault="00723B80" w:rsidP="00723B80">
      <w:pPr>
        <w:jc w:val="both"/>
        <w:rPr>
          <w:color w:val="000000" w:themeColor="text1"/>
          <w:szCs w:val="22"/>
        </w:rPr>
      </w:pPr>
    </w:p>
    <w:p w14:paraId="5F6DB972" w14:textId="77777777" w:rsidR="00723B80" w:rsidRPr="00EF577A" w:rsidRDefault="00723B80" w:rsidP="00723B80">
      <w:pPr>
        <w:pBdr>
          <w:left w:val="none" w:sz="0" w:space="10" w:color="auto"/>
        </w:pBdr>
        <w:rPr>
          <w:color w:val="000000" w:themeColor="text1"/>
          <w:szCs w:val="22"/>
        </w:rPr>
      </w:pPr>
      <w:bookmarkStart w:id="132" w:name="co_anchor_Ib68cd2d1329d11edbae2913662"/>
      <w:bookmarkStart w:id="133" w:name="co_anchor_Ib68cd2d1329d11edbae291366335"/>
      <w:r w:rsidRPr="00EF577A">
        <w:rPr>
          <w:b/>
          <w:color w:val="000000" w:themeColor="text1"/>
          <w:szCs w:val="22"/>
        </w:rPr>
        <w:t>E. Breach of Contract</w:t>
      </w:r>
    </w:p>
    <w:p w14:paraId="0F702E86" w14:textId="77777777" w:rsidR="00723B80" w:rsidRPr="00EF577A" w:rsidRDefault="00723B80" w:rsidP="00723B80">
      <w:pPr>
        <w:jc w:val="both"/>
        <w:rPr>
          <w:color w:val="000000" w:themeColor="text1"/>
          <w:szCs w:val="22"/>
        </w:rPr>
      </w:pPr>
      <w:bookmarkStart w:id="134" w:name="co_anchor_B572051893074_1"/>
      <w:bookmarkEnd w:id="132"/>
      <w:bookmarkEnd w:id="133"/>
      <w:bookmarkEnd w:id="134"/>
    </w:p>
    <w:p w14:paraId="5DB57191" w14:textId="77777777" w:rsidR="00723B80" w:rsidRPr="00EF577A" w:rsidRDefault="00723B80" w:rsidP="00723B80">
      <w:pPr>
        <w:jc w:val="both"/>
        <w:rPr>
          <w:color w:val="000000" w:themeColor="text1"/>
          <w:szCs w:val="22"/>
        </w:rPr>
      </w:pPr>
      <w:r w:rsidRPr="00EF577A">
        <w:rPr>
          <w:color w:val="000000" w:themeColor="text1"/>
          <w:szCs w:val="22"/>
        </w:rPr>
        <w:t>Plaintiffs allege Capital One breached a contract based on the alleged contracts formed by “fail[</w:t>
      </w:r>
      <w:proofErr w:type="spellStart"/>
      <w:r w:rsidRPr="00EF577A">
        <w:rPr>
          <w:color w:val="000000" w:themeColor="text1"/>
          <w:szCs w:val="22"/>
        </w:rPr>
        <w:t>ing</w:t>
      </w:r>
      <w:proofErr w:type="spellEnd"/>
      <w:r w:rsidRPr="00EF577A">
        <w:rPr>
          <w:color w:val="000000" w:themeColor="text1"/>
          <w:szCs w:val="22"/>
        </w:rPr>
        <w:t xml:space="preserve">] to use reasonable measures to protect [plaintiff's] information.” Am. </w:t>
      </w:r>
      <w:proofErr w:type="spellStart"/>
      <w:r w:rsidRPr="00EF577A">
        <w:rPr>
          <w:color w:val="000000" w:themeColor="text1"/>
          <w:szCs w:val="22"/>
        </w:rPr>
        <w:t>Compl</w:t>
      </w:r>
      <w:proofErr w:type="spellEnd"/>
      <w:r w:rsidRPr="00EF577A">
        <w:rPr>
          <w:color w:val="000000" w:themeColor="text1"/>
          <w:szCs w:val="22"/>
        </w:rPr>
        <w:t>. ¶ 220.</w:t>
      </w:r>
    </w:p>
    <w:p w14:paraId="14D2ABEF" w14:textId="77777777" w:rsidR="00723B80" w:rsidRPr="00EF577A" w:rsidRDefault="00723B80" w:rsidP="00723B80">
      <w:pPr>
        <w:jc w:val="both"/>
        <w:rPr>
          <w:color w:val="000000" w:themeColor="text1"/>
          <w:szCs w:val="22"/>
        </w:rPr>
      </w:pPr>
      <w:r w:rsidRPr="00EF577A">
        <w:rPr>
          <w:color w:val="000000" w:themeColor="text1"/>
          <w:szCs w:val="22"/>
        </w:rPr>
        <w:t> </w:t>
      </w:r>
    </w:p>
    <w:p w14:paraId="711AA4A5" w14:textId="77777777" w:rsidR="00723B80" w:rsidRPr="00EF577A" w:rsidRDefault="00723B80" w:rsidP="00723B80">
      <w:pPr>
        <w:jc w:val="both"/>
        <w:rPr>
          <w:color w:val="000000" w:themeColor="text1"/>
          <w:szCs w:val="22"/>
        </w:rPr>
      </w:pPr>
      <w:r w:rsidRPr="00EF577A">
        <w:rPr>
          <w:color w:val="000000" w:themeColor="text1"/>
          <w:szCs w:val="22"/>
        </w:rPr>
        <w:lastRenderedPageBreak/>
        <w:t xml:space="preserve">In support of its breach of contract claim, Plaintiffs relies on Capital One's Privacy and Opt-Out Notice (“Privacy Notice”), wherein Capital One promised, under the heading “How does Capital One protect my personal information,” that “[t]o protect your personal information from unauthorized access and use, we use security measures </w:t>
      </w:r>
      <w:r w:rsidRPr="00EF577A">
        <w:rPr>
          <w:i/>
          <w:color w:val="000000" w:themeColor="text1"/>
          <w:szCs w:val="22"/>
        </w:rPr>
        <w:t>that comply with federal law.</w:t>
      </w:r>
      <w:r w:rsidRPr="00EF577A">
        <w:rPr>
          <w:color w:val="000000" w:themeColor="text1"/>
          <w:szCs w:val="22"/>
        </w:rPr>
        <w:t xml:space="preserve"> These measures include computer safeguards and secured files and buildings.” </w:t>
      </w:r>
      <w:r w:rsidRPr="00EF577A">
        <w:rPr>
          <w:i/>
          <w:color w:val="000000" w:themeColor="text1"/>
          <w:szCs w:val="22"/>
        </w:rPr>
        <w:t>Id.</w:t>
      </w:r>
      <w:r w:rsidRPr="00EF577A">
        <w:rPr>
          <w:color w:val="000000" w:themeColor="text1"/>
          <w:szCs w:val="22"/>
        </w:rPr>
        <w:t xml:space="preserve"> ¶¶ 98 &amp; n.55, 217 (emphasis added). The Privacy Notice also lists the circumstances in which Capital One is permitted to disclose its customers' personal information to third parties, </w:t>
      </w:r>
      <w:r w:rsidRPr="00EF577A">
        <w:rPr>
          <w:i/>
          <w:color w:val="000000" w:themeColor="text1"/>
          <w:szCs w:val="22"/>
        </w:rPr>
        <w:t>id.</w:t>
      </w:r>
      <w:r w:rsidRPr="00EF577A">
        <w:rPr>
          <w:color w:val="000000" w:themeColor="text1"/>
          <w:szCs w:val="22"/>
        </w:rPr>
        <w:t xml:space="preserve"> ¶¶ 217, which does not include the circumstances in which it was (involuntarily) disclosed here, </w:t>
      </w:r>
      <w:r w:rsidRPr="00EF577A">
        <w:rPr>
          <w:i/>
          <w:color w:val="000000" w:themeColor="text1"/>
          <w:szCs w:val="22"/>
        </w:rPr>
        <w:t>id.</w:t>
      </w:r>
      <w:r w:rsidRPr="00EF577A">
        <w:rPr>
          <w:color w:val="000000" w:themeColor="text1"/>
          <w:szCs w:val="22"/>
        </w:rPr>
        <w:t xml:space="preserve"> ¶ 220.</w:t>
      </w:r>
    </w:p>
    <w:p w14:paraId="262B5052" w14:textId="77777777" w:rsidR="00723B80" w:rsidRPr="00EF577A" w:rsidRDefault="00723B80" w:rsidP="00723B80">
      <w:pPr>
        <w:jc w:val="both"/>
        <w:rPr>
          <w:color w:val="000000" w:themeColor="text1"/>
          <w:szCs w:val="22"/>
        </w:rPr>
      </w:pPr>
      <w:r w:rsidRPr="00EF577A">
        <w:rPr>
          <w:color w:val="000000" w:themeColor="text1"/>
          <w:szCs w:val="22"/>
        </w:rPr>
        <w:t> </w:t>
      </w:r>
    </w:p>
    <w:p w14:paraId="66B50F5C" w14:textId="77777777" w:rsidR="00723B80" w:rsidRPr="00EF577A" w:rsidRDefault="00723B80" w:rsidP="00723B80">
      <w:pPr>
        <w:jc w:val="both"/>
        <w:rPr>
          <w:color w:val="000000" w:themeColor="text1"/>
          <w:szCs w:val="22"/>
        </w:rPr>
      </w:pPr>
      <w:r w:rsidRPr="00EF577A">
        <w:rPr>
          <w:color w:val="000000" w:themeColor="text1"/>
          <w:szCs w:val="22"/>
        </w:rPr>
        <w:t>Plaintiffs also allege Capital One breached promises in its Privacy Statement, in which Capital One represented to its customers that:</w:t>
      </w:r>
    </w:p>
    <w:p w14:paraId="4B1B37C1" w14:textId="77777777" w:rsidR="00723B80" w:rsidRPr="00EF577A" w:rsidRDefault="00723B80" w:rsidP="00723B80">
      <w:pPr>
        <w:ind w:left="720"/>
        <w:jc w:val="both"/>
        <w:rPr>
          <w:color w:val="000000" w:themeColor="text1"/>
          <w:szCs w:val="22"/>
        </w:rPr>
      </w:pPr>
      <w:r w:rsidRPr="00EF577A">
        <w:rPr>
          <w:color w:val="000000" w:themeColor="text1"/>
          <w:szCs w:val="22"/>
        </w:rPr>
        <w:t>At Capital One, we make your safety and security a top priority and are committed to protecting your personal and financial information. If we collect identifying information from you, we will protect that information with controls based upon internationally recognized security standards, regulations, and industry-based best practices.</w:t>
      </w:r>
    </w:p>
    <w:p w14:paraId="6E36C033" w14:textId="77777777" w:rsidR="00723B80" w:rsidRPr="00EF577A" w:rsidRDefault="00723B80" w:rsidP="00723B80">
      <w:pPr>
        <w:jc w:val="both"/>
        <w:rPr>
          <w:i/>
          <w:color w:val="000000" w:themeColor="text1"/>
          <w:szCs w:val="22"/>
        </w:rPr>
      </w:pPr>
    </w:p>
    <w:p w14:paraId="4578639B" w14:textId="77777777" w:rsidR="00723B80" w:rsidRPr="00EF577A" w:rsidRDefault="00723B80" w:rsidP="00723B80">
      <w:pPr>
        <w:jc w:val="both"/>
        <w:rPr>
          <w:color w:val="000000" w:themeColor="text1"/>
          <w:szCs w:val="22"/>
        </w:rPr>
      </w:pPr>
      <w:r w:rsidRPr="00EF577A">
        <w:rPr>
          <w:i/>
          <w:color w:val="000000" w:themeColor="text1"/>
          <w:szCs w:val="22"/>
        </w:rPr>
        <w:t>Id.</w:t>
      </w:r>
      <w:r w:rsidRPr="00EF577A">
        <w:rPr>
          <w:color w:val="000000" w:themeColor="text1"/>
          <w:szCs w:val="22"/>
        </w:rPr>
        <w:t xml:space="preserve"> ¶ 99. Capital One's website also represents, according to Plaintiff, that “security is a top priority,” specifying that it “prohibit[s] the unlawful disclosure of [applicant's] Social Security number[s]” and that is uses “some of the strongest forms of encryption commercially available for use on the Web today.” </w:t>
      </w:r>
      <w:r w:rsidRPr="00EF577A">
        <w:rPr>
          <w:i/>
          <w:color w:val="000000" w:themeColor="text1"/>
          <w:szCs w:val="22"/>
        </w:rPr>
        <w:t>Id.</w:t>
      </w:r>
      <w:r w:rsidRPr="00EF577A">
        <w:rPr>
          <w:color w:val="000000" w:themeColor="text1"/>
          <w:szCs w:val="22"/>
        </w:rPr>
        <w:t xml:space="preserve"> ¶ 100. Together, these notices, Plaintiffs argue, ground a breach of contract claim against Capital One.</w:t>
      </w:r>
    </w:p>
    <w:p w14:paraId="36920D8C" w14:textId="77777777" w:rsidR="00723B80" w:rsidRPr="00EF577A" w:rsidRDefault="00723B80" w:rsidP="00723B80">
      <w:pPr>
        <w:jc w:val="both"/>
        <w:rPr>
          <w:color w:val="000000" w:themeColor="text1"/>
          <w:szCs w:val="22"/>
        </w:rPr>
      </w:pPr>
      <w:r w:rsidRPr="00EF577A">
        <w:rPr>
          <w:color w:val="000000" w:themeColor="text1"/>
          <w:szCs w:val="22"/>
        </w:rPr>
        <w:t> </w:t>
      </w:r>
    </w:p>
    <w:p w14:paraId="1C1E7E57" w14:textId="77777777" w:rsidR="00723B80" w:rsidRPr="00EF577A" w:rsidRDefault="00723B80" w:rsidP="00723B80">
      <w:pPr>
        <w:jc w:val="both"/>
        <w:rPr>
          <w:color w:val="000000" w:themeColor="text1"/>
          <w:szCs w:val="22"/>
        </w:rPr>
      </w:pPr>
      <w:r w:rsidRPr="00EF577A">
        <w:rPr>
          <w:color w:val="000000" w:themeColor="text1"/>
          <w:szCs w:val="22"/>
        </w:rPr>
        <w:t>Capital One, in substance, contends that it did not assume a contractual obligation to use reasonable measures to protect Plaintiff's PII, and even if it had, Plaintiffs have not alleged any evidence that it breached that duty. More specifically, Capital One moves to dismiss on four grounds: (1) the Cardholder Agreements contain the only contractual terms between the parties.; (2) the Privacy Notice is not an enforceable agreement; (3) there was no “meeting of the minds” to make the Privacy Notice enforceable because Plaintiffs do not allege that they read, were aware of, or agreed to the terms of the Privacy Notice; and (4) its Privacy Notice does not contain enforceable promises, “only broad statements about corporate policy.” [Doc. 387] at 33-35.</w:t>
      </w:r>
    </w:p>
    <w:p w14:paraId="58E19836" w14:textId="77777777" w:rsidR="00723B80" w:rsidRPr="00EF577A" w:rsidRDefault="00723B80" w:rsidP="00723B80">
      <w:pPr>
        <w:jc w:val="both"/>
        <w:rPr>
          <w:color w:val="000000" w:themeColor="text1"/>
          <w:szCs w:val="22"/>
        </w:rPr>
      </w:pPr>
      <w:r w:rsidRPr="00EF577A">
        <w:rPr>
          <w:color w:val="000000" w:themeColor="text1"/>
          <w:szCs w:val="22"/>
        </w:rPr>
        <w:t> </w:t>
      </w:r>
    </w:p>
    <w:p w14:paraId="619929D4" w14:textId="77777777" w:rsidR="00723B80" w:rsidRPr="00EF577A" w:rsidRDefault="00723B80" w:rsidP="00723B80">
      <w:pPr>
        <w:jc w:val="both"/>
        <w:rPr>
          <w:color w:val="000000" w:themeColor="text1"/>
          <w:szCs w:val="22"/>
        </w:rPr>
      </w:pPr>
      <w:r w:rsidRPr="00EF577A">
        <w:rPr>
          <w:i/>
          <w:color w:val="000000" w:themeColor="text1"/>
          <w:szCs w:val="22"/>
        </w:rPr>
        <w:t>First</w:t>
      </w:r>
      <w:r w:rsidRPr="00EF577A">
        <w:rPr>
          <w:color w:val="000000" w:themeColor="text1"/>
          <w:szCs w:val="22"/>
        </w:rPr>
        <w:t xml:space="preserve">, The Cardholder Agreement explicitly identify “privacy notices” as documents that “govern your Account with us,” in addition to the Cardholder Agreement. </w:t>
      </w:r>
      <w:r w:rsidRPr="00EF577A">
        <w:rPr>
          <w:i/>
          <w:color w:val="000000" w:themeColor="text1"/>
          <w:szCs w:val="22"/>
        </w:rPr>
        <w:t>See</w:t>
      </w:r>
      <w:r w:rsidRPr="00EF577A">
        <w:rPr>
          <w:color w:val="000000" w:themeColor="text1"/>
          <w:szCs w:val="22"/>
        </w:rPr>
        <w:t xml:space="preserve"> [Doc. 387], </w:t>
      </w:r>
      <w:proofErr w:type="spellStart"/>
      <w:r w:rsidRPr="00EF577A">
        <w:rPr>
          <w:color w:val="000000" w:themeColor="text1"/>
          <w:szCs w:val="22"/>
        </w:rPr>
        <w:t>Exs</w:t>
      </w:r>
      <w:proofErr w:type="spellEnd"/>
      <w:r w:rsidRPr="00EF577A">
        <w:rPr>
          <w:color w:val="000000" w:themeColor="text1"/>
          <w:szCs w:val="22"/>
        </w:rPr>
        <w:t xml:space="preserve">. 2-10 p. 1 at “Account Documents”. Thus, it would appear that the Cardholder Agreements do not contain all of Capital One's contractual commitments and the relationship between Plaintiffs and Capital One are subject to the privacy notices as well. </w:t>
      </w:r>
      <w:r w:rsidRPr="00EF577A">
        <w:rPr>
          <w:i/>
          <w:color w:val="000000" w:themeColor="text1"/>
          <w:szCs w:val="22"/>
        </w:rPr>
        <w:t>Second</w:t>
      </w:r>
      <w:r w:rsidRPr="00EF577A">
        <w:rPr>
          <w:color w:val="000000" w:themeColor="text1"/>
          <w:szCs w:val="22"/>
        </w:rPr>
        <w:t>, the same consideration that makes enforceable the Cardholder Agreements makes enforceable the Privacy Notices; and there is an objective manifestation of assent by both parties to enter into a contractual relationship based on specific referenced terms, which included the privacy notices (and data security promises therein).</w:t>
      </w:r>
      <w:r w:rsidRPr="00EF577A">
        <w:rPr>
          <w:rStyle w:val="FootnoteReference"/>
          <w:color w:val="000000" w:themeColor="text1"/>
          <w:szCs w:val="22"/>
        </w:rPr>
        <w:footnoteReference w:customMarkFollows="1" w:id="1"/>
        <w:t xml:space="preserve">23 </w:t>
      </w:r>
      <w:r w:rsidRPr="00EF577A">
        <w:rPr>
          <w:color w:val="000000" w:themeColor="text1"/>
          <w:szCs w:val="22"/>
        </w:rPr>
        <w:t xml:space="preserve">And </w:t>
      </w:r>
      <w:r w:rsidRPr="00EF577A">
        <w:rPr>
          <w:i/>
          <w:color w:val="000000" w:themeColor="text1"/>
          <w:szCs w:val="22"/>
        </w:rPr>
        <w:t>third</w:t>
      </w:r>
      <w:r w:rsidRPr="00EF577A">
        <w:rPr>
          <w:color w:val="000000" w:themeColor="text1"/>
          <w:szCs w:val="22"/>
        </w:rPr>
        <w:t xml:space="preserve">, the statements made in </w:t>
      </w:r>
      <w:r w:rsidRPr="00EF577A">
        <w:rPr>
          <w:color w:val="000000" w:themeColor="text1"/>
          <w:szCs w:val="22"/>
        </w:rPr>
        <w:lastRenderedPageBreak/>
        <w:t xml:space="preserve">the Privacy Notices, construed in the light most favorable to plaintiffs, communicate a definite promise to maintain the security of Plaintiffs' information. Am. </w:t>
      </w:r>
      <w:proofErr w:type="spellStart"/>
      <w:r w:rsidRPr="00EF577A">
        <w:rPr>
          <w:color w:val="000000" w:themeColor="text1"/>
          <w:szCs w:val="22"/>
        </w:rPr>
        <w:t>Compl</w:t>
      </w:r>
      <w:proofErr w:type="spellEnd"/>
      <w:r w:rsidRPr="00EF577A">
        <w:rPr>
          <w:color w:val="000000" w:themeColor="text1"/>
          <w:szCs w:val="22"/>
        </w:rPr>
        <w:t xml:space="preserve">. ¶ 98 (Capital One would protect the “personal information [the customers provide in order to obtain services] from unauthorized access and use [by employing] security measures that comply with federal law”); </w:t>
      </w:r>
      <w:r w:rsidRPr="00EF577A">
        <w:rPr>
          <w:i/>
          <w:color w:val="000000" w:themeColor="text1"/>
          <w:szCs w:val="22"/>
        </w:rPr>
        <w:t>Id.</w:t>
      </w:r>
      <w:r w:rsidRPr="00EF577A">
        <w:rPr>
          <w:color w:val="000000" w:themeColor="text1"/>
          <w:szCs w:val="22"/>
        </w:rPr>
        <w:t xml:space="preserve"> ¶¶ </w:t>
      </w:r>
      <w:proofErr w:type="gramStart"/>
      <w:r w:rsidRPr="00EF577A">
        <w:rPr>
          <w:color w:val="000000" w:themeColor="text1"/>
          <w:szCs w:val="22"/>
        </w:rPr>
        <w:t>217( Capital</w:t>
      </w:r>
      <w:proofErr w:type="gramEnd"/>
      <w:r w:rsidRPr="00EF577A">
        <w:rPr>
          <w:color w:val="000000" w:themeColor="text1"/>
          <w:szCs w:val="22"/>
        </w:rPr>
        <w:t xml:space="preserve"> One would disclose Plaintiffs' PII only in specifically authorized circumstances). </w:t>
      </w:r>
      <w:r w:rsidRPr="00EF577A">
        <w:rPr>
          <w:i/>
          <w:color w:val="000000" w:themeColor="text1"/>
          <w:szCs w:val="22"/>
        </w:rPr>
        <w:t>See also Marriott</w:t>
      </w:r>
      <w:r w:rsidRPr="00EF577A">
        <w:rPr>
          <w:color w:val="000000" w:themeColor="text1"/>
          <w:szCs w:val="22"/>
        </w:rPr>
        <w:t>, 440 F. Supp. 3d at 484-85 (concluding same under New York and Maryland law).</w:t>
      </w:r>
    </w:p>
    <w:p w14:paraId="4BE69E87" w14:textId="77777777" w:rsidR="00723B80" w:rsidRPr="00EF577A" w:rsidRDefault="00723B80" w:rsidP="00723B80">
      <w:pPr>
        <w:jc w:val="both"/>
        <w:rPr>
          <w:color w:val="000000" w:themeColor="text1"/>
          <w:szCs w:val="22"/>
        </w:rPr>
      </w:pPr>
      <w:r w:rsidRPr="00EF577A">
        <w:rPr>
          <w:color w:val="000000" w:themeColor="text1"/>
          <w:szCs w:val="22"/>
        </w:rPr>
        <w:t> </w:t>
      </w:r>
    </w:p>
    <w:p w14:paraId="695C8C30" w14:textId="77777777" w:rsidR="00723B80" w:rsidRPr="00EF577A" w:rsidRDefault="00723B80" w:rsidP="00723B80">
      <w:pPr>
        <w:jc w:val="both"/>
        <w:rPr>
          <w:color w:val="000000" w:themeColor="text1"/>
          <w:szCs w:val="22"/>
        </w:rPr>
      </w:pPr>
      <w:r w:rsidRPr="00EF577A">
        <w:rPr>
          <w:i/>
          <w:color w:val="000000" w:themeColor="text1"/>
          <w:szCs w:val="22"/>
        </w:rPr>
        <w:t>Finally</w:t>
      </w:r>
      <w:r w:rsidRPr="00EF577A">
        <w:rPr>
          <w:color w:val="000000" w:themeColor="text1"/>
          <w:szCs w:val="22"/>
        </w:rPr>
        <w:t xml:space="preserve">, Plaintiffs have adequately alleged that by using inadequate data security measures that violated Section 5 of the FTC Act, related state statutes, and the GLBA's Safeguards Rule, Capital One breached the promise in the Privacy Notices to use security measures that comply with federal law, “internationally recognized security standards, regulations, and industry-based best practices,” and “some of the strongest forms of encryption commercially available for use on the Web today,” </w:t>
      </w:r>
      <w:r w:rsidRPr="00EF577A">
        <w:rPr>
          <w:i/>
          <w:color w:val="000000" w:themeColor="text1"/>
          <w:szCs w:val="22"/>
        </w:rPr>
        <w:t>id.</w:t>
      </w:r>
      <w:r w:rsidRPr="00EF577A">
        <w:rPr>
          <w:color w:val="000000" w:themeColor="text1"/>
          <w:szCs w:val="22"/>
        </w:rPr>
        <w:t xml:space="preserve"> ¶¶ 99,100, 112. Against the background of the Data Breach, which occurred as the result of an alleged well-documented vulnerability in Capital One's platform, Plaintiffs have plausibly alleged that Capital One breached the obligations agreed to in its Privacy Notices. Therefore, Plaintiffs have sufficiently alleged a breach of contract under applicable Virginia law.</w:t>
      </w:r>
    </w:p>
    <w:p w14:paraId="19607DA8" w14:textId="77777777" w:rsidR="0021793A" w:rsidRPr="00EF577A" w:rsidRDefault="0021793A" w:rsidP="0021793A">
      <w:pPr>
        <w:rPr>
          <w:szCs w:val="22"/>
        </w:rPr>
      </w:pPr>
    </w:p>
    <w:p w14:paraId="6368A8DF" w14:textId="77777777" w:rsidR="0021793A" w:rsidRPr="00EF577A" w:rsidRDefault="0021793A" w:rsidP="00CA0CF8">
      <w:pPr>
        <w:widowControl w:val="0"/>
        <w:autoSpaceDE w:val="0"/>
        <w:autoSpaceDN w:val="0"/>
        <w:adjustRightInd w:val="0"/>
        <w:rPr>
          <w:color w:val="000000" w:themeColor="text1"/>
          <w:szCs w:val="22"/>
        </w:rPr>
      </w:pPr>
    </w:p>
    <w:bookmarkEnd w:id="0"/>
    <w:bookmarkEnd w:id="1"/>
    <w:bookmarkEnd w:id="2"/>
    <w:p w14:paraId="04831337" w14:textId="12A2A1FF" w:rsidR="004F4E7A" w:rsidRDefault="004F4E7A" w:rsidP="004F4E7A">
      <w:pPr>
        <w:widowControl w:val="0"/>
        <w:autoSpaceDE w:val="0"/>
        <w:autoSpaceDN w:val="0"/>
        <w:adjustRightInd w:val="0"/>
        <w:jc w:val="both"/>
        <w:rPr>
          <w:color w:val="000000"/>
          <w:szCs w:val="22"/>
        </w:rPr>
      </w:pPr>
    </w:p>
    <w:p w14:paraId="0AB6414C" w14:textId="77777777" w:rsidR="00316E7E" w:rsidRPr="00E94371" w:rsidRDefault="00316E7E" w:rsidP="00DF66F9">
      <w:pPr>
        <w:ind w:left="101" w:right="101"/>
        <w:jc w:val="center"/>
        <w:outlineLvl w:val="0"/>
        <w:rPr>
          <w:color w:val="000000"/>
        </w:rPr>
      </w:pPr>
      <w:bookmarkStart w:id="135" w:name="_Toc172455566"/>
      <w:bookmarkStart w:id="136" w:name="_Toc186019893"/>
      <w:r w:rsidRPr="00E94371">
        <w:rPr>
          <w:color w:val="000000"/>
        </w:rPr>
        <w:t>In Re: Yahoo! Inc. Customer Data Security Breach Litigation</w:t>
      </w:r>
      <w:bookmarkEnd w:id="135"/>
      <w:bookmarkEnd w:id="136"/>
    </w:p>
    <w:p w14:paraId="0CF3C7F2" w14:textId="77777777" w:rsidR="00316E7E" w:rsidRPr="00E94371" w:rsidRDefault="00316E7E" w:rsidP="00316E7E">
      <w:pPr>
        <w:jc w:val="center"/>
        <w:rPr>
          <w:color w:val="000000"/>
        </w:rPr>
      </w:pPr>
      <w:r w:rsidRPr="00E94371">
        <w:rPr>
          <w:color w:val="000000"/>
        </w:rPr>
        <w:t>313 F.Supp.3d 1113 (2018)</w:t>
      </w:r>
    </w:p>
    <w:p w14:paraId="7F4A3F64" w14:textId="77777777" w:rsidR="00316E7E" w:rsidRPr="00E94371" w:rsidRDefault="00316E7E" w:rsidP="00316E7E">
      <w:pPr>
        <w:jc w:val="center"/>
        <w:rPr>
          <w:color w:val="000000"/>
        </w:rPr>
      </w:pPr>
      <w:r w:rsidRPr="00E94371">
        <w:rPr>
          <w:color w:val="000000"/>
        </w:rPr>
        <w:t>United States District Court, N.D. California, San Jose Division</w:t>
      </w:r>
    </w:p>
    <w:p w14:paraId="5E6ECD2C" w14:textId="77777777" w:rsidR="00316E7E" w:rsidRPr="00E94371" w:rsidRDefault="00316E7E" w:rsidP="00316E7E">
      <w:pPr>
        <w:spacing w:line="275" w:lineRule="atLeast"/>
        <w:ind w:left="150"/>
        <w:jc w:val="center"/>
        <w:rPr>
          <w:color w:val="000000"/>
        </w:rPr>
      </w:pPr>
      <w:bookmarkStart w:id="137" w:name="co_anchor_I066c96b1950c11ee85e2ac0b62"/>
      <w:bookmarkStart w:id="138" w:name="co_anchor_I066c96b1950c11ee85e2ac0b666a"/>
      <w:bookmarkStart w:id="139" w:name="co_anchor_I06311456950c11ee85e2ac0b666a"/>
    </w:p>
    <w:p w14:paraId="5BC1F5E9" w14:textId="77777777" w:rsidR="00316E7E" w:rsidRPr="00E94371" w:rsidRDefault="00316E7E" w:rsidP="00316E7E">
      <w:pPr>
        <w:spacing w:line="275" w:lineRule="atLeast"/>
        <w:ind w:left="150"/>
        <w:jc w:val="center"/>
        <w:rPr>
          <w:color w:val="000000"/>
        </w:rPr>
      </w:pPr>
      <w:r w:rsidRPr="00E94371">
        <w:rPr>
          <w:b/>
          <w:color w:val="000000"/>
        </w:rPr>
        <w:t>ORDER GRANTING IN PART AND DENYING IN PART MOTION TO DISMISS</w:t>
      </w:r>
      <w:bookmarkEnd w:id="137"/>
      <w:bookmarkEnd w:id="138"/>
      <w:bookmarkEnd w:id="139"/>
    </w:p>
    <w:p w14:paraId="3B03DF2F" w14:textId="77777777" w:rsidR="00316E7E" w:rsidRPr="00E94371" w:rsidRDefault="00316E7E" w:rsidP="00316E7E">
      <w:pPr>
        <w:spacing w:before="400" w:line="275" w:lineRule="atLeast"/>
        <w:jc w:val="both"/>
        <w:rPr>
          <w:color w:val="000000"/>
        </w:rPr>
      </w:pPr>
      <w:r w:rsidRPr="00E94371">
        <w:rPr>
          <w:color w:val="000000"/>
        </w:rPr>
        <w:t>LUCY H. KOH, United States District Judge</w:t>
      </w:r>
    </w:p>
    <w:p w14:paraId="1E95EB5D" w14:textId="77777777" w:rsidR="00316E7E" w:rsidRPr="00E94371" w:rsidRDefault="00316E7E" w:rsidP="00316E7E">
      <w:pPr>
        <w:spacing w:before="200" w:line="275" w:lineRule="atLeast"/>
        <w:jc w:val="both"/>
        <w:rPr>
          <w:color w:val="000000"/>
        </w:rPr>
      </w:pPr>
      <w:r w:rsidRPr="00E94371">
        <w:rPr>
          <w:color w:val="000000"/>
        </w:rPr>
        <w:t xml:space="preserve">Plaintiffs Kimberly Heines, </w:t>
      </w:r>
      <w:proofErr w:type="spellStart"/>
      <w:r w:rsidRPr="00E94371">
        <w:rPr>
          <w:color w:val="000000"/>
        </w:rPr>
        <w:t>Hashmatullah</w:t>
      </w:r>
      <w:proofErr w:type="spellEnd"/>
      <w:r w:rsidRPr="00E94371">
        <w:rPr>
          <w:color w:val="000000"/>
        </w:rPr>
        <w:t xml:space="preserve"> Essar, Paul Dugas, Matthew Ridolfo, Deana Ridolfo, Yaniv Rivlin, Mali Granot, Brian Neff, and Andrew Mortensen (collectively, “Plaintiffs”) bring a putative class action against Defendant Yahoo! Inc. (“Yahoo”). Plaintiff Brian Neff also brings a putative class action against Defendant </w:t>
      </w:r>
      <w:proofErr w:type="spellStart"/>
      <w:r w:rsidRPr="00E94371">
        <w:rPr>
          <w:color w:val="000000"/>
        </w:rPr>
        <w:t>Aabaco</w:t>
      </w:r>
      <w:proofErr w:type="spellEnd"/>
      <w:r w:rsidRPr="00E94371">
        <w:rPr>
          <w:color w:val="000000"/>
        </w:rPr>
        <w:t xml:space="preserve"> Small Business, LLC (“</w:t>
      </w:r>
      <w:proofErr w:type="spellStart"/>
      <w:r w:rsidRPr="00E94371">
        <w:rPr>
          <w:color w:val="000000"/>
        </w:rPr>
        <w:t>Aabaco</w:t>
      </w:r>
      <w:proofErr w:type="spellEnd"/>
      <w:r w:rsidRPr="00E94371">
        <w:rPr>
          <w:color w:val="000000"/>
        </w:rPr>
        <w:t>”) (collectively with Yahoo, “Defendants”). Before the Court is Defendants' motion to dismiss Plaintiffs' First Amended Consolidated Class Action Complaint (“FAC”), ECF No. 196. ECF No. 205 (“Mot.”). Having considered the parties' submissions, the relevant law, and the record in this case, the Court hereby GRANTS in part and DENIES in part the motion to dismiss.</w:t>
      </w:r>
    </w:p>
    <w:p w14:paraId="787307BA" w14:textId="77777777" w:rsidR="00316E7E" w:rsidRPr="00E94371" w:rsidRDefault="00316E7E" w:rsidP="00316E7E">
      <w:pPr>
        <w:spacing w:line="275" w:lineRule="atLeast"/>
        <w:jc w:val="both"/>
        <w:rPr>
          <w:color w:val="000000"/>
        </w:rPr>
      </w:pPr>
      <w:r w:rsidRPr="00E94371">
        <w:rPr>
          <w:color w:val="000000"/>
        </w:rPr>
        <w:t> </w:t>
      </w:r>
    </w:p>
    <w:p w14:paraId="6FFC6C91" w14:textId="77777777" w:rsidR="00316E7E" w:rsidRPr="00E94371" w:rsidRDefault="00316E7E" w:rsidP="00316E7E">
      <w:pPr>
        <w:spacing w:before="400" w:line="275" w:lineRule="atLeast"/>
        <w:rPr>
          <w:color w:val="000000"/>
        </w:rPr>
      </w:pPr>
      <w:bookmarkStart w:id="140" w:name="co_anchor_I066d8111950c11ee85e2ac0b62"/>
      <w:bookmarkStart w:id="141" w:name="co_anchor_I066d8111950c11ee85e2ac0b666a"/>
      <w:r w:rsidRPr="00E94371">
        <w:rPr>
          <w:b/>
          <w:color w:val="000000"/>
        </w:rPr>
        <w:t>I. BACKGROUND</w:t>
      </w:r>
    </w:p>
    <w:p w14:paraId="41DDFC93" w14:textId="77777777" w:rsidR="00316E7E" w:rsidRPr="00E94371" w:rsidRDefault="00316E7E" w:rsidP="00316E7E">
      <w:pPr>
        <w:spacing w:before="400" w:line="275" w:lineRule="atLeast"/>
        <w:rPr>
          <w:color w:val="000000"/>
        </w:rPr>
      </w:pPr>
      <w:bookmarkStart w:id="142" w:name="co_anchor_I066d8111950c11ee85e2ac0b63"/>
      <w:bookmarkEnd w:id="140"/>
      <w:bookmarkEnd w:id="141"/>
      <w:r w:rsidRPr="00E94371">
        <w:rPr>
          <w:b/>
          <w:color w:val="000000"/>
        </w:rPr>
        <w:t>A. Factual Background</w:t>
      </w:r>
    </w:p>
    <w:bookmarkEnd w:id="142"/>
    <w:p w14:paraId="7C2F5DA7" w14:textId="77777777" w:rsidR="00316E7E" w:rsidRPr="00E94371" w:rsidRDefault="00316E7E" w:rsidP="00316E7E">
      <w:pPr>
        <w:spacing w:line="275" w:lineRule="atLeast"/>
        <w:jc w:val="both"/>
        <w:rPr>
          <w:color w:val="000000"/>
        </w:rPr>
      </w:pPr>
      <w:r w:rsidRPr="00E94371">
        <w:rPr>
          <w:color w:val="000000"/>
        </w:rPr>
        <w:lastRenderedPageBreak/>
        <w:t xml:space="preserve">Defendant Yahoo was founded in 1994 and has since grown into a source for internet searches, email, shopping, news, and many other internet services. FAC ¶ 32. One of Yahoo's most important services is Yahoo Mail, a free email service. </w:t>
      </w:r>
      <w:r w:rsidRPr="00E94371">
        <w:rPr>
          <w:i/>
          <w:color w:val="000000"/>
        </w:rPr>
        <w:t>Id.</w:t>
      </w:r>
      <w:r w:rsidRPr="00E94371">
        <w:rPr>
          <w:color w:val="000000"/>
        </w:rPr>
        <w:t xml:space="preserve"> ¶ 33. Plaintiffs allege that “[m]any users have built their digital identities around Yahoo Mail, using the service for everything from their bank and stock trading accounts to photo albums and even medical information.” </w:t>
      </w:r>
      <w:r w:rsidRPr="00E94371">
        <w:rPr>
          <w:i/>
          <w:color w:val="000000"/>
        </w:rPr>
        <w:t>Id.</w:t>
      </w:r>
    </w:p>
    <w:p w14:paraId="4028D018" w14:textId="77777777" w:rsidR="00316E7E" w:rsidRPr="00E94371" w:rsidRDefault="00316E7E" w:rsidP="00316E7E">
      <w:pPr>
        <w:spacing w:line="275" w:lineRule="atLeast"/>
        <w:jc w:val="both"/>
        <w:rPr>
          <w:color w:val="000000"/>
        </w:rPr>
      </w:pPr>
      <w:r w:rsidRPr="00E94371">
        <w:rPr>
          <w:color w:val="000000"/>
        </w:rPr>
        <w:t> </w:t>
      </w:r>
    </w:p>
    <w:p w14:paraId="78C40F71" w14:textId="77777777" w:rsidR="00316E7E" w:rsidRPr="00E94371" w:rsidRDefault="00316E7E" w:rsidP="00316E7E">
      <w:pPr>
        <w:spacing w:line="275" w:lineRule="atLeast"/>
        <w:jc w:val="both"/>
        <w:rPr>
          <w:color w:val="000000"/>
        </w:rPr>
      </w:pPr>
      <w:r w:rsidRPr="00E94371">
        <w:rPr>
          <w:color w:val="000000"/>
        </w:rPr>
        <w:t xml:space="preserve">Yahoo also offers online services for small businesses, including website hosting and email services (hereinafter, “Small Business Services”). </w:t>
      </w:r>
      <w:r w:rsidRPr="00E94371">
        <w:rPr>
          <w:i/>
          <w:color w:val="000000"/>
        </w:rPr>
        <w:t>Id.</w:t>
      </w:r>
      <w:r w:rsidRPr="00E94371">
        <w:rPr>
          <w:color w:val="000000"/>
        </w:rPr>
        <w:t xml:space="preserve"> ¶ 34. Users must pay for Small Business Services, and users are required to provide credit or debit card information for automatic monthly payments for Small Business Services. </w:t>
      </w:r>
      <w:r w:rsidRPr="00E94371">
        <w:rPr>
          <w:i/>
          <w:color w:val="000000"/>
        </w:rPr>
        <w:t>Id.</w:t>
      </w:r>
      <w:r w:rsidRPr="00E94371">
        <w:rPr>
          <w:color w:val="000000"/>
        </w:rPr>
        <w:t xml:space="preserve"> Prior to November 2015, Yahoo provided these services through a division called Yahoo Small Business. </w:t>
      </w:r>
      <w:r w:rsidRPr="00E94371">
        <w:rPr>
          <w:i/>
          <w:color w:val="000000"/>
        </w:rPr>
        <w:t>Id.</w:t>
      </w:r>
      <w:r w:rsidRPr="00E94371">
        <w:rPr>
          <w:color w:val="000000"/>
        </w:rPr>
        <w:t xml:space="preserve"> “Since November 2015, Yahoo has provided its small business services through its wholly owned subsidiary </w:t>
      </w:r>
      <w:proofErr w:type="spellStart"/>
      <w:r w:rsidRPr="00E94371">
        <w:rPr>
          <w:color w:val="000000"/>
        </w:rPr>
        <w:t>Aabaco</w:t>
      </w:r>
      <w:proofErr w:type="spellEnd"/>
      <w:r w:rsidRPr="00E94371">
        <w:rPr>
          <w:color w:val="000000"/>
        </w:rPr>
        <w:t xml:space="preserve">.” </w:t>
      </w:r>
      <w:r w:rsidRPr="00E94371">
        <w:rPr>
          <w:i/>
          <w:color w:val="000000"/>
        </w:rPr>
        <w:t>Id.</w:t>
      </w:r>
    </w:p>
    <w:p w14:paraId="14916361" w14:textId="77777777" w:rsidR="00316E7E" w:rsidRPr="00E94371" w:rsidRDefault="00316E7E" w:rsidP="00316E7E">
      <w:pPr>
        <w:spacing w:line="275" w:lineRule="atLeast"/>
        <w:jc w:val="both"/>
        <w:rPr>
          <w:color w:val="000000"/>
        </w:rPr>
      </w:pPr>
      <w:r w:rsidRPr="00E94371">
        <w:rPr>
          <w:color w:val="000000"/>
        </w:rPr>
        <w:t> </w:t>
      </w:r>
    </w:p>
    <w:p w14:paraId="289E477F" w14:textId="77777777" w:rsidR="00316E7E" w:rsidRPr="00E94371" w:rsidRDefault="00316E7E" w:rsidP="00316E7E">
      <w:pPr>
        <w:spacing w:line="275" w:lineRule="atLeast"/>
        <w:jc w:val="both"/>
        <w:rPr>
          <w:color w:val="000000"/>
        </w:rPr>
      </w:pPr>
      <w:r w:rsidRPr="00E94371">
        <w:rPr>
          <w:color w:val="000000"/>
        </w:rPr>
        <w:t xml:space="preserve">Plaintiffs allege that in order to obtain email services and Small Business Services from Defendants, users are required to provide personal identification information (“PII”) to Defendants. </w:t>
      </w:r>
      <w:r w:rsidRPr="00E94371">
        <w:rPr>
          <w:i/>
          <w:color w:val="000000"/>
        </w:rPr>
        <w:t>Id.</w:t>
      </w:r>
      <w:r w:rsidRPr="00E94371">
        <w:rPr>
          <w:color w:val="000000"/>
        </w:rPr>
        <w:t xml:space="preserve"> ¶ 35. This PII includes the user's name, email address, birth date, gender, ZIP code, occupation, industry, and personal interests. </w:t>
      </w:r>
      <w:r w:rsidRPr="00E94371">
        <w:rPr>
          <w:i/>
          <w:color w:val="000000"/>
        </w:rPr>
        <w:t>Id.</w:t>
      </w:r>
      <w:r w:rsidRPr="00E94371">
        <w:rPr>
          <w:color w:val="000000"/>
        </w:rPr>
        <w:t xml:space="preserve"> ¶ 37. For some Yahoo accounts, including the small business accounts, users are required to submit additional information, including credit or debit card numbers and other financial information. </w:t>
      </w:r>
      <w:r w:rsidRPr="00E94371">
        <w:rPr>
          <w:i/>
          <w:color w:val="000000"/>
        </w:rPr>
        <w:t>Id.</w:t>
      </w:r>
      <w:r w:rsidRPr="00E94371">
        <w:rPr>
          <w:color w:val="000000"/>
        </w:rPr>
        <w:t xml:space="preserve"> ¶¶ 34, 36.</w:t>
      </w:r>
    </w:p>
    <w:p w14:paraId="5B29A302" w14:textId="77777777" w:rsidR="00316E7E" w:rsidRPr="00E94371" w:rsidRDefault="00316E7E" w:rsidP="00316E7E">
      <w:pPr>
        <w:spacing w:line="275" w:lineRule="atLeast"/>
        <w:jc w:val="both"/>
        <w:rPr>
          <w:color w:val="000000"/>
        </w:rPr>
      </w:pPr>
      <w:r w:rsidRPr="00E94371">
        <w:rPr>
          <w:color w:val="000000"/>
        </w:rPr>
        <w:t> </w:t>
      </w:r>
    </w:p>
    <w:p w14:paraId="675F75B1" w14:textId="7D2A2B7F" w:rsidR="00316E7E" w:rsidRPr="00E94371" w:rsidRDefault="00316E7E" w:rsidP="00316E7E">
      <w:pPr>
        <w:spacing w:line="275" w:lineRule="atLeast"/>
        <w:jc w:val="both"/>
        <w:rPr>
          <w:color w:val="000000"/>
        </w:rPr>
      </w:pPr>
      <w:r w:rsidRPr="00E94371">
        <w:rPr>
          <w:color w:val="000000"/>
        </w:rPr>
        <w:t xml:space="preserve">In addition to the PII that Plaintiffs submitted directly to Defendants, Plaintiffs also allege that users used their Yahoo email accounts to send and receive a variety of personal information. </w:t>
      </w:r>
      <w:r w:rsidRPr="00E94371">
        <w:rPr>
          <w:i/>
          <w:color w:val="000000"/>
        </w:rPr>
        <w:t>Id.</w:t>
      </w:r>
      <w:r w:rsidRPr="00E94371">
        <w:rPr>
          <w:color w:val="000000"/>
        </w:rPr>
        <w:t xml:space="preserve"> ¶ 7. Each named Plaintiff alleges that he or she included sensitive information in the content of his or her Yahoo emails. </w:t>
      </w:r>
      <w:r w:rsidRPr="00E94371">
        <w:rPr>
          <w:i/>
          <w:color w:val="000000"/>
        </w:rPr>
        <w:t>See, e.g.</w:t>
      </w:r>
      <w:r w:rsidRPr="00E94371">
        <w:rPr>
          <w:color w:val="000000"/>
        </w:rPr>
        <w:t xml:space="preserve">, </w:t>
      </w:r>
      <w:r w:rsidRPr="00E94371">
        <w:rPr>
          <w:i/>
          <w:color w:val="000000"/>
        </w:rPr>
        <w:t>id.</w:t>
      </w:r>
      <w:r w:rsidRPr="00E94371">
        <w:rPr>
          <w:color w:val="000000"/>
        </w:rPr>
        <w:t xml:space="preserve"> ¶¶ 18–21. The individual allegations of the named Plaintiffs, including allegations regarding the personal information that these named Plaintiffs included in their Yahoo email accounts, are discussed further below. </w:t>
      </w:r>
    </w:p>
    <w:p w14:paraId="5432EBB4" w14:textId="77777777" w:rsidR="00316E7E" w:rsidRPr="00E94371" w:rsidRDefault="00316E7E" w:rsidP="00316E7E">
      <w:pPr>
        <w:spacing w:before="400" w:line="275" w:lineRule="atLeast"/>
        <w:ind w:left="200"/>
        <w:rPr>
          <w:color w:val="000000"/>
        </w:rPr>
      </w:pPr>
      <w:bookmarkStart w:id="143" w:name="co_anchor_I066fcb01950c11ee85e2ac0b62"/>
      <w:bookmarkStart w:id="144" w:name="co_anchor_I066fcb01950c11ee85e2ac0b666a"/>
      <w:r w:rsidRPr="00E94371">
        <w:rPr>
          <w:b/>
          <w:color w:val="000000"/>
        </w:rPr>
        <w:t>1. Earlier Data Security Issues Putting Yahoo on Notice</w:t>
      </w:r>
    </w:p>
    <w:bookmarkEnd w:id="143"/>
    <w:bookmarkEnd w:id="144"/>
    <w:p w14:paraId="40894184" w14:textId="77777777" w:rsidR="00316E7E" w:rsidRPr="00E94371" w:rsidRDefault="00316E7E" w:rsidP="00316E7E">
      <w:pPr>
        <w:spacing w:line="275" w:lineRule="atLeast"/>
        <w:jc w:val="both"/>
        <w:rPr>
          <w:color w:val="000000"/>
        </w:rPr>
      </w:pPr>
      <w:r w:rsidRPr="00E94371">
        <w:rPr>
          <w:color w:val="000000"/>
        </w:rPr>
        <w:t xml:space="preserve">Plaintiffs allege that Defendants have a long history of data security failures that should have put Defendants on notice of the need to enhance their data security. For example, in 2008 and 2009, “multiple hosts on Yahoo's corporate network were compromised.” </w:t>
      </w:r>
      <w:r w:rsidRPr="00E94371">
        <w:rPr>
          <w:i/>
          <w:color w:val="000000"/>
        </w:rPr>
        <w:t>Id.</w:t>
      </w:r>
      <w:r w:rsidRPr="00E94371">
        <w:rPr>
          <w:color w:val="000000"/>
        </w:rPr>
        <w:t xml:space="preserve"> ¶¶ 64–65. In 2010, Google notified Yahoo that attackers were using Yahoo systems to attack Google. </w:t>
      </w:r>
      <w:r w:rsidRPr="00E94371">
        <w:rPr>
          <w:i/>
          <w:color w:val="000000"/>
        </w:rPr>
        <w:t>Id.</w:t>
      </w:r>
      <w:r w:rsidRPr="00E94371">
        <w:rPr>
          <w:color w:val="000000"/>
        </w:rPr>
        <w:t xml:space="preserve"> ¶ 66. In 2011, then-Chief Information Security Officer (“CISO”) Justin </w:t>
      </w:r>
      <w:proofErr w:type="spellStart"/>
      <w:r w:rsidRPr="00E94371">
        <w:rPr>
          <w:color w:val="000000"/>
        </w:rPr>
        <w:t>Somaini</w:t>
      </w:r>
      <w:proofErr w:type="spellEnd"/>
      <w:r w:rsidRPr="00E94371">
        <w:rPr>
          <w:color w:val="000000"/>
        </w:rPr>
        <w:t xml:space="preserve"> gave a presentation “identifying gaping holes in Yahoo's data security.” </w:t>
      </w:r>
      <w:r w:rsidRPr="00E94371">
        <w:rPr>
          <w:i/>
          <w:color w:val="000000"/>
        </w:rPr>
        <w:t>Id.</w:t>
      </w:r>
      <w:r w:rsidRPr="00E94371">
        <w:rPr>
          <w:color w:val="000000"/>
        </w:rPr>
        <w:t xml:space="preserve"> ¶ 67. In 2012, a </w:t>
      </w:r>
      <w:proofErr w:type="gramStart"/>
      <w:r w:rsidRPr="00E94371">
        <w:rPr>
          <w:color w:val="000000"/>
        </w:rPr>
        <w:t>third party</w:t>
      </w:r>
      <w:proofErr w:type="gramEnd"/>
      <w:r w:rsidRPr="00E94371">
        <w:rPr>
          <w:color w:val="000000"/>
        </w:rPr>
        <w:t xml:space="preserve"> informed Yahoo of a vulnerability within its system. </w:t>
      </w:r>
      <w:r w:rsidRPr="00E94371">
        <w:rPr>
          <w:i/>
          <w:color w:val="000000"/>
        </w:rPr>
        <w:t>Id.</w:t>
      </w:r>
      <w:r w:rsidRPr="00E94371">
        <w:rPr>
          <w:color w:val="000000"/>
        </w:rPr>
        <w:t xml:space="preserve"> ¶ 72.</w:t>
      </w:r>
    </w:p>
    <w:p w14:paraId="6CA338B8" w14:textId="77777777" w:rsidR="00316E7E" w:rsidRPr="00E94371" w:rsidRDefault="00316E7E" w:rsidP="00316E7E">
      <w:pPr>
        <w:spacing w:line="275" w:lineRule="atLeast"/>
        <w:jc w:val="both"/>
        <w:rPr>
          <w:color w:val="000000"/>
        </w:rPr>
      </w:pPr>
      <w:r w:rsidRPr="00E94371">
        <w:rPr>
          <w:color w:val="000000"/>
        </w:rPr>
        <w:t> </w:t>
      </w:r>
    </w:p>
    <w:p w14:paraId="4CC3EDE5" w14:textId="77777777" w:rsidR="00316E7E" w:rsidRPr="00E94371" w:rsidRDefault="00316E7E" w:rsidP="00316E7E">
      <w:pPr>
        <w:spacing w:line="275" w:lineRule="atLeast"/>
        <w:jc w:val="both"/>
        <w:rPr>
          <w:color w:val="000000"/>
        </w:rPr>
      </w:pPr>
      <w:r w:rsidRPr="00E94371">
        <w:rPr>
          <w:color w:val="000000"/>
        </w:rPr>
        <w:t xml:space="preserve">Yahoo also experienced a breach in 2012. Although the Federal Trade Commission found as early as 2003 that “SQL injection attacks” were a known and preventable data security threat, “in 2012, Yahoo admitted that more than 450,000 user accounts were compromised through an SQL injection attack—with the passwords simply stored in plain text.” </w:t>
      </w:r>
      <w:r w:rsidRPr="00E94371">
        <w:rPr>
          <w:i/>
          <w:color w:val="000000"/>
        </w:rPr>
        <w:t>Id.</w:t>
      </w:r>
      <w:r w:rsidRPr="00E94371">
        <w:rPr>
          <w:color w:val="000000"/>
        </w:rPr>
        <w:t xml:space="preserve"> ¶¶ 77–78. Plaintiffs allege that according to news stories at the time, “[s]</w:t>
      </w:r>
      <w:proofErr w:type="spellStart"/>
      <w:r w:rsidRPr="00E94371">
        <w:rPr>
          <w:color w:val="000000"/>
        </w:rPr>
        <w:t>ecurity</w:t>
      </w:r>
      <w:proofErr w:type="spellEnd"/>
      <w:r w:rsidRPr="00E94371">
        <w:rPr>
          <w:color w:val="000000"/>
        </w:rPr>
        <w:t xml:space="preserve"> experts were befuddled ... as to why a company as large as Yahoo would fail to cryptographically store the passwords in its database. Instead, [the passwords] were left in plain text, which means a hacker could easily read them.” </w:t>
      </w:r>
      <w:r w:rsidRPr="00E94371">
        <w:rPr>
          <w:i/>
          <w:color w:val="000000"/>
        </w:rPr>
        <w:t>Id.</w:t>
      </w:r>
      <w:r w:rsidRPr="00E94371">
        <w:rPr>
          <w:color w:val="000000"/>
        </w:rPr>
        <w:t xml:space="preserve"> ¶ 77.</w:t>
      </w:r>
    </w:p>
    <w:p w14:paraId="138A3832" w14:textId="77777777" w:rsidR="00316E7E" w:rsidRPr="00E94371" w:rsidRDefault="00316E7E" w:rsidP="00316E7E">
      <w:pPr>
        <w:spacing w:line="275" w:lineRule="atLeast"/>
        <w:jc w:val="both"/>
        <w:rPr>
          <w:color w:val="000000"/>
        </w:rPr>
      </w:pPr>
      <w:r w:rsidRPr="00E94371">
        <w:rPr>
          <w:color w:val="000000"/>
        </w:rPr>
        <w:lastRenderedPageBreak/>
        <w:t> </w:t>
      </w:r>
    </w:p>
    <w:p w14:paraId="389A8D03" w14:textId="77777777" w:rsidR="00316E7E" w:rsidRPr="00E94371" w:rsidRDefault="00316E7E" w:rsidP="00316E7E">
      <w:pPr>
        <w:spacing w:line="275" w:lineRule="atLeast"/>
        <w:jc w:val="both"/>
        <w:rPr>
          <w:color w:val="000000"/>
        </w:rPr>
      </w:pPr>
      <w:r w:rsidRPr="00E94371">
        <w:rPr>
          <w:color w:val="000000"/>
        </w:rPr>
        <w:t xml:space="preserve">According to Plaintiffs, the 2012 hackers intended the 2012 attack as a wake-up call, and the hackers left a message stating: “We hope that the parties responsible for managing the security of this subdomain will take this as a wake-up call, and not as a threat ... There have been many security holes exploited in Web servers belonging to Yahoo! Inc. that have caused far greater damage than our disclosure. Please do not take them lightly.” </w:t>
      </w:r>
      <w:r w:rsidRPr="00E94371">
        <w:rPr>
          <w:i/>
          <w:color w:val="000000"/>
        </w:rPr>
        <w:t>Id.</w:t>
      </w:r>
      <w:r w:rsidRPr="00E94371">
        <w:rPr>
          <w:color w:val="000000"/>
        </w:rPr>
        <w:t xml:space="preserve"> ¶ 79. However, despite this warning, Plaintiffs allege that “Yahoo's culture actively discouraged emphasis on data security.” </w:t>
      </w:r>
      <w:r w:rsidRPr="00E94371">
        <w:rPr>
          <w:i/>
          <w:color w:val="000000"/>
        </w:rPr>
        <w:t>Id.</w:t>
      </w:r>
      <w:r w:rsidRPr="00E94371">
        <w:rPr>
          <w:color w:val="000000"/>
        </w:rPr>
        <w:t xml:space="preserve"> ¶ 89. Plaintiffs allege that “former Yahoo security staffers interviewed later told Reuters that requests made by Yahoo's security team for new tools and features such as strengthened cryptography protections were, at times, rejected on the grounds that the requests would cost too much money, were too complicated, or were simply too low a priority.” </w:t>
      </w:r>
      <w:r w:rsidRPr="00E94371">
        <w:rPr>
          <w:i/>
          <w:color w:val="000000"/>
        </w:rPr>
        <w:t>Id.</w:t>
      </w:r>
    </w:p>
    <w:p w14:paraId="1C20846F" w14:textId="77777777" w:rsidR="00316E7E" w:rsidRPr="00E94371" w:rsidRDefault="00316E7E" w:rsidP="00316E7E">
      <w:pPr>
        <w:spacing w:line="275" w:lineRule="atLeast"/>
        <w:jc w:val="both"/>
        <w:rPr>
          <w:color w:val="000000"/>
        </w:rPr>
      </w:pPr>
      <w:r w:rsidRPr="00E94371">
        <w:rPr>
          <w:color w:val="000000"/>
        </w:rPr>
        <w:t> </w:t>
      </w:r>
    </w:p>
    <w:p w14:paraId="26854FB9" w14:textId="77777777" w:rsidR="00316E7E" w:rsidRPr="00E94371" w:rsidRDefault="00316E7E" w:rsidP="00316E7E">
      <w:pPr>
        <w:spacing w:line="275" w:lineRule="atLeast"/>
        <w:jc w:val="both"/>
        <w:rPr>
          <w:color w:val="000000"/>
        </w:rPr>
      </w:pPr>
      <w:r w:rsidRPr="00E94371">
        <w:rPr>
          <w:color w:val="000000"/>
        </w:rPr>
        <w:t xml:space="preserve">Yahoo also hired security firms who identified problems with Yahoo's systems. For example, in 2012, Yahoo retained Mandiant, an outside cybersecurity firm, to perform a threat assessment; Mandiant's subsequent report detailed issues with Yahoo's security and attack groups in Yahoo's systems. </w:t>
      </w:r>
      <w:r w:rsidRPr="00E94371">
        <w:rPr>
          <w:i/>
          <w:color w:val="000000"/>
        </w:rPr>
        <w:t>Id.</w:t>
      </w:r>
      <w:r w:rsidRPr="00E94371">
        <w:rPr>
          <w:color w:val="000000"/>
        </w:rPr>
        <w:t xml:space="preserve"> ¶¶ 70, 73, 75. Similarly, Dell SecureWorks and Leaf SR conducted security assessments at various times between 2013 and 2016 that turned up vulnerabilities. </w:t>
      </w:r>
      <w:r w:rsidRPr="00E94371">
        <w:rPr>
          <w:i/>
          <w:color w:val="000000"/>
        </w:rPr>
        <w:t>Id.</w:t>
      </w:r>
      <w:r w:rsidRPr="00E94371">
        <w:rPr>
          <w:color w:val="000000"/>
        </w:rPr>
        <w:t xml:space="preserve"> ¶¶ 83–84, 87–88.</w:t>
      </w:r>
    </w:p>
    <w:p w14:paraId="635024ED" w14:textId="77777777" w:rsidR="00316E7E" w:rsidRPr="00E94371" w:rsidRDefault="00316E7E" w:rsidP="00316E7E">
      <w:pPr>
        <w:spacing w:line="275" w:lineRule="atLeast"/>
        <w:jc w:val="both"/>
        <w:rPr>
          <w:color w:val="000000"/>
        </w:rPr>
      </w:pPr>
      <w:r w:rsidRPr="00E94371">
        <w:rPr>
          <w:color w:val="000000"/>
        </w:rPr>
        <w:t> </w:t>
      </w:r>
    </w:p>
    <w:p w14:paraId="14A58532" w14:textId="77777777" w:rsidR="00316E7E" w:rsidRPr="00E94371" w:rsidRDefault="00316E7E" w:rsidP="00316E7E">
      <w:pPr>
        <w:spacing w:before="400" w:line="275" w:lineRule="atLeast"/>
        <w:ind w:left="200"/>
        <w:rPr>
          <w:color w:val="000000"/>
        </w:rPr>
      </w:pPr>
      <w:bookmarkStart w:id="145" w:name="co_anchor_I06723c01950c11ee85e2ac0b62"/>
      <w:bookmarkStart w:id="146" w:name="co_anchor_I06723c01950c11ee85e2ac0b666a"/>
      <w:r w:rsidRPr="00E94371">
        <w:rPr>
          <w:b/>
          <w:color w:val="000000"/>
        </w:rPr>
        <w:t>2. Three Data Breaches at Issue in the Instant Case</w:t>
      </w:r>
    </w:p>
    <w:bookmarkEnd w:id="145"/>
    <w:bookmarkEnd w:id="146"/>
    <w:p w14:paraId="2CF394A0" w14:textId="77777777" w:rsidR="00316E7E" w:rsidRPr="00E94371" w:rsidRDefault="00316E7E" w:rsidP="00316E7E">
      <w:pPr>
        <w:spacing w:line="275" w:lineRule="atLeast"/>
        <w:jc w:val="both"/>
        <w:rPr>
          <w:color w:val="000000"/>
        </w:rPr>
      </w:pPr>
      <w:r w:rsidRPr="00E94371">
        <w:rPr>
          <w:color w:val="000000"/>
        </w:rPr>
        <w:t xml:space="preserve">The instant lawsuit involves three data breaches that occurred between 2013 and 2016. According to Plaintiffs, Defendants represented to users that users' accounts with Defendants were secure. For example, Yahoo's website stated that “protecting our systems and our users' information is paramount to ensuring Yahoo users enjoy a secure user experience and maintaining our users' trust” and that “[w]e deploy industry standard physical, technical, and procedural safeguards that comply with relevant regulations to protect your personal information.” </w:t>
      </w:r>
      <w:r w:rsidRPr="00E94371">
        <w:rPr>
          <w:i/>
          <w:color w:val="000000"/>
        </w:rPr>
        <w:t>Id.</w:t>
      </w:r>
      <w:r w:rsidRPr="00E94371">
        <w:rPr>
          <w:color w:val="000000"/>
        </w:rPr>
        <w:t xml:space="preserve"> ¶ 43. Similarly, </w:t>
      </w:r>
      <w:proofErr w:type="spellStart"/>
      <w:r w:rsidRPr="00E94371">
        <w:rPr>
          <w:color w:val="000000"/>
        </w:rPr>
        <w:t>Aabaco's</w:t>
      </w:r>
      <w:proofErr w:type="spellEnd"/>
      <w:r w:rsidRPr="00E94371">
        <w:rPr>
          <w:color w:val="000000"/>
        </w:rPr>
        <w:t xml:space="preserve"> website stated that “[w]e </w:t>
      </w:r>
      <w:proofErr w:type="gramStart"/>
      <w:r w:rsidRPr="00E94371">
        <w:rPr>
          <w:color w:val="000000"/>
        </w:rPr>
        <w:t>have</w:t>
      </w:r>
      <w:proofErr w:type="gramEnd"/>
      <w:r w:rsidRPr="00E94371">
        <w:rPr>
          <w:color w:val="000000"/>
        </w:rPr>
        <w:t xml:space="preserve"> physical, electronic, and procedural safeguards that comply with federal regulations to protect your Personal Information.” </w:t>
      </w:r>
      <w:r w:rsidRPr="00E94371">
        <w:rPr>
          <w:i/>
          <w:color w:val="000000"/>
        </w:rPr>
        <w:t>Id.</w:t>
      </w:r>
      <w:r w:rsidRPr="00E94371">
        <w:rPr>
          <w:color w:val="000000"/>
        </w:rPr>
        <w:t xml:space="preserve"> ¶ 46. Nonetheless, despite these representations, Plaintiffs allege that Defendants did not use appropriate safeguards to protect users' PII and that Plaintiffs' PII was thus exposed to hackers who infiltrated Defendants' systems. Specifically, Plaintiffs allege three separate data breaches: a breach that occurred in 2013, a breach that occurred in 2014, and a “forged cookie breach” that occurred in 2015 and 2016. The Court refers to these breaches collectively as the “Data Breaches.” The Court discusses each below.</w:t>
      </w:r>
    </w:p>
    <w:p w14:paraId="17998037" w14:textId="77777777" w:rsidR="00316E7E" w:rsidRPr="00E94371" w:rsidRDefault="00316E7E" w:rsidP="00316E7E">
      <w:pPr>
        <w:spacing w:line="275" w:lineRule="atLeast"/>
        <w:jc w:val="both"/>
        <w:rPr>
          <w:color w:val="000000"/>
        </w:rPr>
      </w:pPr>
      <w:r w:rsidRPr="00E94371">
        <w:rPr>
          <w:color w:val="000000"/>
        </w:rPr>
        <w:t> </w:t>
      </w:r>
    </w:p>
    <w:p w14:paraId="76D87965" w14:textId="77777777" w:rsidR="00316E7E" w:rsidRPr="00E94371" w:rsidRDefault="00316E7E" w:rsidP="00316E7E">
      <w:pPr>
        <w:spacing w:before="400" w:line="275" w:lineRule="atLeast"/>
        <w:ind w:left="200"/>
        <w:rPr>
          <w:color w:val="000000"/>
        </w:rPr>
      </w:pPr>
      <w:bookmarkStart w:id="147" w:name="co_anchor_I06734d71950c11ee85e2ac0b62"/>
      <w:bookmarkStart w:id="148" w:name="co_anchor_I06734d71950c11ee85e2ac0b666a"/>
      <w:r w:rsidRPr="00E94371">
        <w:rPr>
          <w:b/>
          <w:color w:val="000000"/>
        </w:rPr>
        <w:t>a. The 2013 Breach</w:t>
      </w:r>
    </w:p>
    <w:bookmarkEnd w:id="147"/>
    <w:bookmarkEnd w:id="148"/>
    <w:p w14:paraId="69B61977" w14:textId="77777777" w:rsidR="00316E7E" w:rsidRPr="00E94371" w:rsidRDefault="00316E7E" w:rsidP="00316E7E">
      <w:pPr>
        <w:spacing w:line="275" w:lineRule="atLeast"/>
        <w:jc w:val="both"/>
        <w:rPr>
          <w:color w:val="000000"/>
        </w:rPr>
      </w:pPr>
      <w:r w:rsidRPr="00E94371">
        <w:rPr>
          <w:color w:val="000000"/>
        </w:rPr>
        <w:t xml:space="preserve">The first breach occurred in August 2013 (“2013 Breach”). </w:t>
      </w:r>
      <w:r w:rsidRPr="00E94371">
        <w:rPr>
          <w:i/>
          <w:color w:val="000000"/>
        </w:rPr>
        <w:t>Id.</w:t>
      </w:r>
      <w:r w:rsidRPr="00E94371">
        <w:rPr>
          <w:color w:val="000000"/>
        </w:rPr>
        <w:t xml:space="preserve"> ¶ 133. Hackers gained access to Yahoo accounts and stole users' Yahoo logins, country codes, recovery emails, dates of birth, hashed passwords, cell phone numbers, and zip codes. </w:t>
      </w:r>
      <w:r w:rsidRPr="00E94371">
        <w:rPr>
          <w:i/>
          <w:color w:val="000000"/>
        </w:rPr>
        <w:t>Id.</w:t>
      </w:r>
      <w:r w:rsidRPr="00E94371">
        <w:rPr>
          <w:color w:val="000000"/>
        </w:rPr>
        <w:t xml:space="preserve"> ¶ 134. Significantly, the 2013 Breach also gave hackers access to the contents of users' emails, and thus exposed any sensitive information that users included in the contents of their emails. </w:t>
      </w:r>
      <w:r w:rsidRPr="00E94371">
        <w:rPr>
          <w:i/>
          <w:color w:val="000000"/>
        </w:rPr>
        <w:t>Id.</w:t>
      </w:r>
      <w:r w:rsidRPr="00E94371">
        <w:rPr>
          <w:color w:val="000000"/>
        </w:rPr>
        <w:t xml:space="preserve"> Plaintiffs allege that users used their Yahoo emails for a variety of personal and financial transactions, </w:t>
      </w:r>
      <w:r w:rsidRPr="00E94371">
        <w:rPr>
          <w:color w:val="000000"/>
        </w:rPr>
        <w:lastRenderedPageBreak/>
        <w:t xml:space="preserve">and thus that Yahoo email accounts contained “credit card numbers, ... bank account numbers, Social Security numbers, driver's license numbers, passport information, birth certificates, deeds, mortgages, and contracts.” </w:t>
      </w:r>
      <w:r w:rsidRPr="00E94371">
        <w:rPr>
          <w:i/>
          <w:color w:val="000000"/>
        </w:rPr>
        <w:t>Id.</w:t>
      </w:r>
    </w:p>
    <w:p w14:paraId="09FBDB27" w14:textId="77777777" w:rsidR="00316E7E" w:rsidRPr="00E94371" w:rsidRDefault="00316E7E" w:rsidP="00316E7E">
      <w:pPr>
        <w:spacing w:line="275" w:lineRule="atLeast"/>
        <w:jc w:val="both"/>
        <w:rPr>
          <w:color w:val="000000"/>
        </w:rPr>
      </w:pPr>
      <w:r w:rsidRPr="00E94371">
        <w:rPr>
          <w:color w:val="000000"/>
        </w:rPr>
        <w:t> </w:t>
      </w:r>
    </w:p>
    <w:p w14:paraId="1E131062" w14:textId="77777777" w:rsidR="00316E7E" w:rsidRPr="00E94371" w:rsidRDefault="00316E7E" w:rsidP="00316E7E">
      <w:pPr>
        <w:spacing w:line="275" w:lineRule="atLeast"/>
        <w:jc w:val="both"/>
        <w:rPr>
          <w:color w:val="000000"/>
        </w:rPr>
      </w:pPr>
      <w:r w:rsidRPr="00E94371">
        <w:rPr>
          <w:color w:val="000000"/>
        </w:rPr>
        <w:t xml:space="preserve">On December 14, 2016, more than three years after the 2013 Breach occurred, Yahoo disclosed the 2013 Breach but underestimated its true scope. </w:t>
      </w:r>
      <w:r w:rsidRPr="00E94371">
        <w:rPr>
          <w:i/>
          <w:color w:val="000000"/>
        </w:rPr>
        <w:t>Id.</w:t>
      </w:r>
      <w:r w:rsidRPr="00E94371">
        <w:rPr>
          <w:color w:val="000000"/>
        </w:rPr>
        <w:t xml:space="preserve"> ¶ 133. Specifically, Yahoo stated that “an unauthorized third party ... stole data associated with more than one billion user accounts.” </w:t>
      </w:r>
      <w:r w:rsidRPr="00E94371">
        <w:rPr>
          <w:i/>
          <w:color w:val="000000"/>
        </w:rPr>
        <w:t>Id.</w:t>
      </w:r>
      <w:r w:rsidRPr="00E94371">
        <w:rPr>
          <w:color w:val="000000"/>
        </w:rPr>
        <w:t xml:space="preserve"> Almost a year later, on October 3, 2017, Yahoo announced that the 2013 Breach had actually affected </w:t>
      </w:r>
      <w:r w:rsidRPr="00E94371">
        <w:rPr>
          <w:i/>
          <w:color w:val="000000"/>
        </w:rPr>
        <w:t>every</w:t>
      </w:r>
      <w:r w:rsidRPr="00E94371">
        <w:rPr>
          <w:color w:val="000000"/>
        </w:rPr>
        <w:t xml:space="preserve"> user account—approximately three billion, not one billion, accounts. </w:t>
      </w:r>
      <w:r w:rsidRPr="00E94371">
        <w:rPr>
          <w:i/>
          <w:color w:val="000000"/>
        </w:rPr>
        <w:t>Id.</w:t>
      </w:r>
      <w:r w:rsidRPr="00E94371">
        <w:rPr>
          <w:color w:val="000000"/>
        </w:rPr>
        <w:t xml:space="preserve"> ¶¶ 145–46. Plaintiffs allege that the 2013 Breach occurred because Yahoo did not timely move away from an outdated encryption technology known as MD5. </w:t>
      </w:r>
      <w:r w:rsidRPr="00E94371">
        <w:rPr>
          <w:i/>
          <w:color w:val="000000"/>
        </w:rPr>
        <w:t>Id.</w:t>
      </w:r>
      <w:r w:rsidRPr="00E94371">
        <w:rPr>
          <w:color w:val="000000"/>
        </w:rPr>
        <w:t xml:space="preserve"> ¶ 90. According to Plaintiffs, it was widely recognized in the data security industry long before the 2013 Breach that MD5 was “cryptographically broken and </w:t>
      </w:r>
      <w:r w:rsidRPr="00E94371">
        <w:rPr>
          <w:i/>
          <w:color w:val="000000"/>
        </w:rPr>
        <w:t>unsuitable for further use.</w:t>
      </w:r>
      <w:r w:rsidRPr="00E94371">
        <w:rPr>
          <w:color w:val="000000"/>
        </w:rPr>
        <w:t xml:space="preserve">” </w:t>
      </w:r>
      <w:r w:rsidRPr="00E94371">
        <w:rPr>
          <w:i/>
          <w:color w:val="000000"/>
        </w:rPr>
        <w:t>Id.</w:t>
      </w:r>
      <w:r w:rsidRPr="00E94371">
        <w:rPr>
          <w:color w:val="000000"/>
        </w:rPr>
        <w:t xml:space="preserve"> ¶ 91. Nevertheless, Yahoo did not begin to upgrade from MD5 until the summer of 2013. </w:t>
      </w:r>
      <w:r w:rsidRPr="00E94371">
        <w:rPr>
          <w:i/>
          <w:color w:val="000000"/>
        </w:rPr>
        <w:t>Id.</w:t>
      </w:r>
      <w:r w:rsidRPr="00E94371">
        <w:rPr>
          <w:color w:val="000000"/>
        </w:rPr>
        <w:t xml:space="preserve"> ¶ 93. Plaintiffs allege, however, that Yahoo's move from MD5 in the summer of 2013 was too late to prevent the 2013 Breach. </w:t>
      </w:r>
      <w:r w:rsidRPr="00E94371">
        <w:rPr>
          <w:i/>
          <w:color w:val="000000"/>
        </w:rPr>
        <w:t>Id.</w:t>
      </w:r>
      <w:r w:rsidRPr="00E94371">
        <w:rPr>
          <w:color w:val="000000"/>
        </w:rPr>
        <w:t xml:space="preserve"> ¶¶ 94–96.</w:t>
      </w:r>
    </w:p>
    <w:p w14:paraId="5C682F54" w14:textId="77777777" w:rsidR="00316E7E" w:rsidRPr="00E94371" w:rsidRDefault="00316E7E" w:rsidP="00316E7E">
      <w:pPr>
        <w:spacing w:line="275" w:lineRule="atLeast"/>
        <w:jc w:val="both"/>
        <w:rPr>
          <w:color w:val="000000"/>
        </w:rPr>
      </w:pPr>
      <w:r w:rsidRPr="00E94371">
        <w:rPr>
          <w:color w:val="000000"/>
        </w:rPr>
        <w:t> </w:t>
      </w:r>
    </w:p>
    <w:p w14:paraId="23EC9E68" w14:textId="77777777" w:rsidR="00316E7E" w:rsidRPr="00E94371" w:rsidRDefault="00316E7E" w:rsidP="00316E7E">
      <w:pPr>
        <w:spacing w:before="400" w:line="275" w:lineRule="atLeast"/>
        <w:ind w:left="200"/>
        <w:rPr>
          <w:color w:val="000000"/>
        </w:rPr>
      </w:pPr>
      <w:bookmarkStart w:id="149" w:name="co_anchor_I06752231950c11ee85e2ac0b62"/>
      <w:bookmarkStart w:id="150" w:name="co_anchor_I06752231950c11ee85e2ac0b666a"/>
      <w:r w:rsidRPr="00E94371">
        <w:rPr>
          <w:b/>
          <w:color w:val="000000"/>
        </w:rPr>
        <w:t>b. The 2014 Breach</w:t>
      </w:r>
    </w:p>
    <w:bookmarkEnd w:id="149"/>
    <w:bookmarkEnd w:id="150"/>
    <w:p w14:paraId="4785BD0B" w14:textId="77777777" w:rsidR="00316E7E" w:rsidRPr="00E94371" w:rsidRDefault="00316E7E" w:rsidP="00316E7E">
      <w:pPr>
        <w:spacing w:line="275" w:lineRule="atLeast"/>
        <w:jc w:val="both"/>
        <w:rPr>
          <w:color w:val="000000"/>
        </w:rPr>
      </w:pPr>
      <w:r w:rsidRPr="00E94371">
        <w:rPr>
          <w:color w:val="000000"/>
        </w:rPr>
        <w:t xml:space="preserve">The second breach occurred in late 2014 (“2014 Breach”). </w:t>
      </w:r>
      <w:r w:rsidRPr="00E94371">
        <w:rPr>
          <w:i/>
          <w:color w:val="000000"/>
        </w:rPr>
        <w:t>Id.</w:t>
      </w:r>
      <w:r w:rsidRPr="00E94371">
        <w:rPr>
          <w:color w:val="000000"/>
        </w:rPr>
        <w:t xml:space="preserve"> ¶ 102. Plaintiffs allege that “the 2014 breach began with a ‘spear phishing’ email campaign sent to upper-level Yahoo employees. One or more of these employees fell for the bait, and Yahoo's data security was so lax, that this action was enough to hand over the proverbial keys to the kingdom.” </w:t>
      </w:r>
      <w:r w:rsidRPr="00E94371">
        <w:rPr>
          <w:i/>
          <w:color w:val="000000"/>
        </w:rPr>
        <w:t>Id.</w:t>
      </w:r>
      <w:r w:rsidRPr="00E94371">
        <w:rPr>
          <w:color w:val="000000"/>
        </w:rPr>
        <w:t xml:space="preserve"> ¶ 154 (footnote omitted). Through this attack, hackers gained access to at least 500 million Yahoo user accounts. </w:t>
      </w:r>
      <w:r w:rsidRPr="00E94371">
        <w:rPr>
          <w:i/>
          <w:color w:val="000000"/>
        </w:rPr>
        <w:t>Id.</w:t>
      </w:r>
      <w:r w:rsidRPr="00E94371">
        <w:rPr>
          <w:color w:val="000000"/>
        </w:rPr>
        <w:t xml:space="preserve"> ¶ 102.</w:t>
      </w:r>
    </w:p>
    <w:p w14:paraId="70B230DA" w14:textId="77777777" w:rsidR="00316E7E" w:rsidRPr="00E94371" w:rsidRDefault="00316E7E" w:rsidP="00316E7E">
      <w:pPr>
        <w:spacing w:line="275" w:lineRule="atLeast"/>
        <w:jc w:val="both"/>
        <w:rPr>
          <w:color w:val="000000"/>
        </w:rPr>
      </w:pPr>
      <w:r w:rsidRPr="00E94371">
        <w:rPr>
          <w:color w:val="000000"/>
        </w:rPr>
        <w:t> </w:t>
      </w:r>
    </w:p>
    <w:p w14:paraId="7F08FD93" w14:textId="55D3B0B4" w:rsidR="00316E7E" w:rsidRPr="00E94371" w:rsidRDefault="00316E7E" w:rsidP="00316E7E">
      <w:pPr>
        <w:spacing w:line="275" w:lineRule="atLeast"/>
        <w:jc w:val="both"/>
        <w:rPr>
          <w:color w:val="000000"/>
        </w:rPr>
      </w:pPr>
      <w:r w:rsidRPr="00E94371">
        <w:rPr>
          <w:color w:val="000000"/>
        </w:rPr>
        <w:t xml:space="preserve">According to Plaintiffs, in August 2016, a hacker posted for sale on the dark web the personal information of 200 million Yahoo users. </w:t>
      </w:r>
      <w:r w:rsidRPr="00E94371">
        <w:rPr>
          <w:i/>
          <w:color w:val="000000"/>
        </w:rPr>
        <w:t>Id.</w:t>
      </w:r>
      <w:r w:rsidRPr="00E94371">
        <w:rPr>
          <w:color w:val="000000"/>
        </w:rPr>
        <w:t xml:space="preserve"> ¶ 122. Plaintiffs also allege that “a geographically dispersed hacking group based in Eastern Europe managed to sell copies of the database to three buyers for $300,000 apiece months before Yahoo disclosed the 2014 Breach.” </w:t>
      </w:r>
      <w:r w:rsidRPr="00E94371">
        <w:rPr>
          <w:i/>
          <w:color w:val="000000"/>
        </w:rPr>
        <w:t>Id.</w:t>
      </w:r>
      <w:r w:rsidRPr="00E94371">
        <w:rPr>
          <w:color w:val="000000"/>
        </w:rPr>
        <w:t xml:space="preserve"> ¶ 123.</w:t>
      </w:r>
    </w:p>
    <w:p w14:paraId="16F4DD47" w14:textId="77777777" w:rsidR="00316E7E" w:rsidRPr="00E94371" w:rsidRDefault="00316E7E" w:rsidP="00316E7E">
      <w:pPr>
        <w:spacing w:line="275" w:lineRule="atLeast"/>
        <w:jc w:val="both"/>
        <w:rPr>
          <w:color w:val="000000"/>
        </w:rPr>
      </w:pPr>
      <w:r w:rsidRPr="00E94371">
        <w:rPr>
          <w:color w:val="000000"/>
        </w:rPr>
        <w:t> </w:t>
      </w:r>
    </w:p>
    <w:p w14:paraId="4AD99D6C" w14:textId="77777777" w:rsidR="00316E7E" w:rsidRPr="00E94371" w:rsidRDefault="00316E7E" w:rsidP="00316E7E">
      <w:pPr>
        <w:spacing w:line="275" w:lineRule="atLeast"/>
        <w:jc w:val="both"/>
        <w:rPr>
          <w:color w:val="000000"/>
        </w:rPr>
      </w:pPr>
      <w:r w:rsidRPr="00E94371">
        <w:rPr>
          <w:color w:val="000000"/>
        </w:rPr>
        <w:t xml:space="preserve">Plaintiffs allege that Yahoo knew about the 2014 Breach as it was happening, but that Yahoo did not publicly disclose the existence of the 2014 Breach until September 22, 2016, approximately two years later. </w:t>
      </w:r>
      <w:r w:rsidRPr="00E94371">
        <w:rPr>
          <w:i/>
          <w:color w:val="000000"/>
        </w:rPr>
        <w:t>Id.</w:t>
      </w:r>
      <w:r w:rsidRPr="00E94371">
        <w:rPr>
          <w:color w:val="000000"/>
        </w:rPr>
        <w:t xml:space="preserve"> ¶¶ 126, 129. Plaintiffs allege that Yahoo's announcement of the 2014 Breach “came just two months after Yahoo announced Verizon's plan to acquire its operating assets, and just weeks after Yahoo reported to the SEC that it knew of no incidents of unauthorized access of personal data that might adversely affect the potential acquisition.” </w:t>
      </w:r>
      <w:r w:rsidRPr="00E94371">
        <w:rPr>
          <w:i/>
          <w:color w:val="000000"/>
        </w:rPr>
        <w:t>Id.</w:t>
      </w:r>
      <w:r w:rsidRPr="00E94371">
        <w:rPr>
          <w:color w:val="000000"/>
        </w:rPr>
        <w:t xml:space="preserve"> ¶ 126. Plaintiffs allege that Yahoo delayed notifying users or the public about the 2014 Breach while “Yahoo solicited offers to buy the company. Reportedly, Yahoo wanted the offers in by April 19, 2016,” and thus waited to disclose the breach until September 2016. </w:t>
      </w:r>
      <w:r w:rsidRPr="00E94371">
        <w:rPr>
          <w:i/>
          <w:color w:val="000000"/>
        </w:rPr>
        <w:t>Id.</w:t>
      </w:r>
      <w:r w:rsidRPr="00E94371">
        <w:rPr>
          <w:color w:val="000000"/>
        </w:rPr>
        <w:t xml:space="preserve"> ¶ 121.</w:t>
      </w:r>
    </w:p>
    <w:p w14:paraId="19790DA8" w14:textId="77777777" w:rsidR="00316E7E" w:rsidRPr="00E94371" w:rsidRDefault="00316E7E" w:rsidP="00316E7E">
      <w:pPr>
        <w:spacing w:line="275" w:lineRule="atLeast"/>
        <w:jc w:val="both"/>
        <w:rPr>
          <w:color w:val="000000"/>
        </w:rPr>
      </w:pPr>
      <w:r w:rsidRPr="00E94371">
        <w:rPr>
          <w:color w:val="000000"/>
        </w:rPr>
        <w:t> </w:t>
      </w:r>
    </w:p>
    <w:p w14:paraId="540D9C34" w14:textId="77777777" w:rsidR="00316E7E" w:rsidRPr="00E94371" w:rsidRDefault="00316E7E" w:rsidP="00316E7E">
      <w:pPr>
        <w:spacing w:line="275" w:lineRule="atLeast"/>
        <w:jc w:val="both"/>
        <w:rPr>
          <w:color w:val="000000"/>
        </w:rPr>
      </w:pPr>
      <w:r w:rsidRPr="00E94371">
        <w:rPr>
          <w:color w:val="000000"/>
        </w:rPr>
        <w:t xml:space="preserve">Plaintiffs also allege that “[b]y intentionally failing to disclose the breach in a timely manner as required by law, Yahoo misled consumers into continuing to sign up for Yahoo services and products, thus providing Yahoo a continuing income stream and a better chance of </w:t>
      </w:r>
      <w:r w:rsidRPr="00E94371">
        <w:rPr>
          <w:color w:val="000000"/>
        </w:rPr>
        <w:lastRenderedPageBreak/>
        <w:t xml:space="preserve">finalizing a sale of the company to Verizon.” </w:t>
      </w:r>
      <w:r w:rsidRPr="00E94371">
        <w:rPr>
          <w:i/>
          <w:color w:val="000000"/>
        </w:rPr>
        <w:t>Id.</w:t>
      </w:r>
      <w:r w:rsidRPr="00E94371">
        <w:rPr>
          <w:color w:val="000000"/>
        </w:rPr>
        <w:t xml:space="preserve"> ¶ 130. In the September 22, 2016 announcement of the 2014 Breach, Yahoo stated that the affected “account information may have included names, email addresses, telephone numbers, dates of birth, hashed passwords (the vast majority with </w:t>
      </w:r>
      <w:proofErr w:type="spellStart"/>
      <w:r w:rsidRPr="00E94371">
        <w:rPr>
          <w:color w:val="000000"/>
        </w:rPr>
        <w:t>bcrypt</w:t>
      </w:r>
      <w:proofErr w:type="spellEnd"/>
      <w:r w:rsidRPr="00E94371">
        <w:rPr>
          <w:color w:val="000000"/>
        </w:rPr>
        <w:t xml:space="preserve">) and, in some cases, encrypted or unencrypted security questions and answers.” </w:t>
      </w:r>
      <w:r w:rsidRPr="00E94371">
        <w:rPr>
          <w:i/>
          <w:color w:val="000000"/>
        </w:rPr>
        <w:t>Id.</w:t>
      </w:r>
      <w:r w:rsidRPr="00E94371">
        <w:rPr>
          <w:color w:val="000000"/>
        </w:rPr>
        <w:t xml:space="preserve"> ¶ 126.</w:t>
      </w:r>
    </w:p>
    <w:p w14:paraId="292E5D3F" w14:textId="77777777" w:rsidR="00316E7E" w:rsidRPr="00E94371" w:rsidRDefault="00316E7E" w:rsidP="00316E7E">
      <w:pPr>
        <w:spacing w:line="275" w:lineRule="atLeast"/>
        <w:jc w:val="both"/>
        <w:rPr>
          <w:color w:val="000000"/>
        </w:rPr>
      </w:pPr>
      <w:r w:rsidRPr="00E94371">
        <w:rPr>
          <w:color w:val="000000"/>
        </w:rPr>
        <w:t> </w:t>
      </w:r>
    </w:p>
    <w:p w14:paraId="72BBF201" w14:textId="77777777" w:rsidR="00316E7E" w:rsidRPr="00E94371" w:rsidRDefault="00316E7E" w:rsidP="00316E7E">
      <w:pPr>
        <w:spacing w:line="275" w:lineRule="atLeast"/>
        <w:jc w:val="both"/>
        <w:rPr>
          <w:color w:val="000000"/>
        </w:rPr>
      </w:pPr>
      <w:r w:rsidRPr="00E94371">
        <w:rPr>
          <w:color w:val="000000"/>
        </w:rPr>
        <w:t xml:space="preserve">Plaintiffs allege that Yahoo's claim that it had not known about the 2014 Breach for two years was “met with immediate skepticism.” </w:t>
      </w:r>
      <w:r w:rsidRPr="00E94371">
        <w:rPr>
          <w:i/>
          <w:color w:val="000000"/>
        </w:rPr>
        <w:t>Id.</w:t>
      </w:r>
      <w:r w:rsidRPr="00E94371">
        <w:rPr>
          <w:color w:val="000000"/>
        </w:rPr>
        <w:t xml:space="preserve"> ¶ 128. Indeed, in a 2016 10–K filing with the SEC, Yahoo revealed that an independent investigation determined that Yahoo had contemporaneous knowledge of the 2014 Breach, yet failed to properly investigate and analyze the breach, due in part to “failures in communication, management, inquiry and internal reporting” that led to a “lack of proper comprehension and handling” of the 2014 Breach. </w:t>
      </w:r>
      <w:r w:rsidRPr="00E94371">
        <w:rPr>
          <w:i/>
          <w:color w:val="000000"/>
        </w:rPr>
        <w:t>Id.</w:t>
      </w:r>
      <w:r w:rsidRPr="00E94371">
        <w:rPr>
          <w:color w:val="000000"/>
        </w:rPr>
        <w:t xml:space="preserve"> ¶ 129.</w:t>
      </w:r>
    </w:p>
    <w:p w14:paraId="2F401271" w14:textId="77777777" w:rsidR="00316E7E" w:rsidRPr="00E94371" w:rsidRDefault="00316E7E" w:rsidP="00316E7E">
      <w:pPr>
        <w:spacing w:line="275" w:lineRule="atLeast"/>
        <w:jc w:val="both"/>
        <w:rPr>
          <w:color w:val="000000"/>
        </w:rPr>
      </w:pPr>
      <w:r w:rsidRPr="00E94371">
        <w:rPr>
          <w:color w:val="000000"/>
        </w:rPr>
        <w:t> </w:t>
      </w:r>
    </w:p>
    <w:p w14:paraId="4810391D" w14:textId="77777777" w:rsidR="00316E7E" w:rsidRPr="00E94371" w:rsidRDefault="00316E7E" w:rsidP="00316E7E">
      <w:pPr>
        <w:spacing w:before="400" w:line="275" w:lineRule="atLeast"/>
        <w:ind w:left="200"/>
        <w:rPr>
          <w:color w:val="000000"/>
        </w:rPr>
      </w:pPr>
      <w:bookmarkStart w:id="151" w:name="co_anchor_I067919d1950c11ee85e2ac0b62"/>
      <w:bookmarkStart w:id="152" w:name="co_anchor_I067919d1950c11ee85e2ac0b666a"/>
      <w:r w:rsidRPr="00E94371">
        <w:rPr>
          <w:b/>
          <w:color w:val="000000"/>
        </w:rPr>
        <w:t>c. The Forged Cookie Breach</w:t>
      </w:r>
    </w:p>
    <w:bookmarkEnd w:id="151"/>
    <w:bookmarkEnd w:id="152"/>
    <w:p w14:paraId="316BF2FD" w14:textId="77777777" w:rsidR="00316E7E" w:rsidRPr="00E94371" w:rsidRDefault="00316E7E" w:rsidP="00316E7E">
      <w:pPr>
        <w:spacing w:line="275" w:lineRule="atLeast"/>
        <w:jc w:val="both"/>
        <w:rPr>
          <w:color w:val="000000"/>
        </w:rPr>
      </w:pPr>
      <w:r w:rsidRPr="00E94371">
        <w:rPr>
          <w:color w:val="000000"/>
        </w:rPr>
        <w:t xml:space="preserve">The third data breach occurred sometime in 2015–2016 (“Forged Cookie Breach”). </w:t>
      </w:r>
      <w:r w:rsidRPr="00E94371">
        <w:rPr>
          <w:i/>
          <w:color w:val="000000"/>
        </w:rPr>
        <w:t>Id.</w:t>
      </w:r>
      <w:r w:rsidRPr="00E94371">
        <w:rPr>
          <w:color w:val="000000"/>
        </w:rPr>
        <w:t xml:space="preserve"> ¶ 117. According to the FAC, the attackers in the Forged Cookie Breach used forged cookies to access Yahoo users' accounts. </w:t>
      </w:r>
      <w:r w:rsidRPr="00E94371">
        <w:rPr>
          <w:i/>
          <w:color w:val="000000"/>
        </w:rPr>
        <w:t>Id.</w:t>
      </w:r>
      <w:r w:rsidRPr="00E94371">
        <w:rPr>
          <w:color w:val="000000"/>
        </w:rPr>
        <w:t xml:space="preserve"> “Cookies” are text files that Yahoo places on users' computers to store login information so that users do not need to reenter login information every time the users\their accounts. </w:t>
      </w:r>
      <w:r w:rsidRPr="00E94371">
        <w:rPr>
          <w:i/>
          <w:color w:val="000000"/>
        </w:rPr>
        <w:t>Id.</w:t>
      </w:r>
      <w:r w:rsidRPr="00E94371">
        <w:rPr>
          <w:color w:val="000000"/>
        </w:rPr>
        <w:t xml:space="preserve"> By forging these cookies, hackers were able to access Yahoo accounts without needing a password to the accounts. </w:t>
      </w:r>
      <w:r w:rsidRPr="00E94371">
        <w:rPr>
          <w:i/>
          <w:color w:val="000000"/>
        </w:rPr>
        <w:t>Id.</w:t>
      </w:r>
      <w:r w:rsidRPr="00E94371">
        <w:rPr>
          <w:color w:val="000000"/>
        </w:rPr>
        <w:t xml:space="preserve"> ¶ 118. Moreover, by forging cookies, hackers were able to remain logged on to accounts for long periods of time. </w:t>
      </w:r>
      <w:r w:rsidRPr="00E94371">
        <w:rPr>
          <w:i/>
          <w:color w:val="000000"/>
        </w:rPr>
        <w:t>Id.</w:t>
      </w:r>
    </w:p>
    <w:p w14:paraId="1555AB81" w14:textId="77777777" w:rsidR="00316E7E" w:rsidRPr="00E94371" w:rsidRDefault="00316E7E" w:rsidP="00316E7E">
      <w:pPr>
        <w:spacing w:line="275" w:lineRule="atLeast"/>
        <w:jc w:val="both"/>
        <w:rPr>
          <w:color w:val="000000"/>
        </w:rPr>
      </w:pPr>
      <w:r w:rsidRPr="00E94371">
        <w:rPr>
          <w:color w:val="000000"/>
        </w:rPr>
        <w:t> </w:t>
      </w:r>
    </w:p>
    <w:p w14:paraId="12A1344E" w14:textId="77777777" w:rsidR="00316E7E" w:rsidRPr="00E94371" w:rsidRDefault="00316E7E" w:rsidP="00316E7E">
      <w:pPr>
        <w:spacing w:line="275" w:lineRule="atLeast"/>
        <w:jc w:val="both"/>
        <w:rPr>
          <w:color w:val="000000"/>
        </w:rPr>
      </w:pPr>
      <w:r w:rsidRPr="00E94371">
        <w:rPr>
          <w:color w:val="000000"/>
        </w:rPr>
        <w:t xml:space="preserve">According to Plaintiffs, the attackers in the Forged Cookie Breach are “thought to be the same parties involved in the 2014 Breach.” </w:t>
      </w:r>
      <w:r w:rsidRPr="00E94371">
        <w:rPr>
          <w:i/>
          <w:color w:val="000000"/>
        </w:rPr>
        <w:t>Id.</w:t>
      </w:r>
      <w:r w:rsidRPr="00E94371">
        <w:rPr>
          <w:color w:val="000000"/>
        </w:rPr>
        <w:t xml:space="preserve"> Specifically, Plaintiffs allege that “the hackers in the 2014 Breach used some of the data obtained in the 2014 Breach to then forge cookies, help others forge cookies, or use the cookies to gain actual access to specific accounts.” </w:t>
      </w:r>
      <w:r w:rsidRPr="00E94371">
        <w:rPr>
          <w:i/>
          <w:color w:val="000000"/>
        </w:rPr>
        <w:t>Id.</w:t>
      </w:r>
      <w:r w:rsidRPr="00E94371">
        <w:rPr>
          <w:color w:val="000000"/>
        </w:rPr>
        <w:t xml:space="preserve"> ¶ 119. “The 2014 Breach and Forged Cookie Breach have since been attributed to two Russian FSB agents, a Russian hacker, and a Canadian hacker.” </w:t>
      </w:r>
      <w:r w:rsidRPr="00E94371">
        <w:rPr>
          <w:i/>
          <w:color w:val="000000"/>
        </w:rPr>
        <w:t>Id.</w:t>
      </w:r>
      <w:r w:rsidRPr="00E94371">
        <w:rPr>
          <w:color w:val="000000"/>
        </w:rPr>
        <w:t xml:space="preserve"> ¶ 153. Plaintiffs allege that in a 2016 10–K filing with the SEC, Yahoo disclosed that an independent committee of Yahoo's Board of Directors had determined that Yahoo's information security team knew, at a minimum, about the Forged Cookie Breach as it was happening, “but took no real action </w:t>
      </w:r>
      <w:bookmarkStart w:id="153" w:name="co_pp_sp_7903_1124_1"/>
      <w:r w:rsidRPr="00E94371">
        <w:rPr>
          <w:b/>
          <w:color w:val="000000"/>
        </w:rPr>
        <w:t>*1124</w:t>
      </w:r>
      <w:bookmarkEnd w:id="153"/>
      <w:r w:rsidRPr="00E94371">
        <w:rPr>
          <w:color w:val="000000"/>
        </w:rPr>
        <w:t xml:space="preserve"> in the face of that knowledge.” </w:t>
      </w:r>
      <w:r w:rsidRPr="00E94371">
        <w:rPr>
          <w:i/>
          <w:color w:val="000000"/>
        </w:rPr>
        <w:t>Id.</w:t>
      </w:r>
      <w:r w:rsidRPr="00E94371">
        <w:rPr>
          <w:color w:val="000000"/>
        </w:rPr>
        <w:t xml:space="preserve"> ¶ 149. Instead, Plaintiffs allege, Yahoo “quietly divulged” the existence of the Forged Cookie Breach in Yahoo's 10–Q filing with the SEC on November 9, 2016 and did not begin notifying users about the Forged Cookie Breach until February 2017. </w:t>
      </w:r>
      <w:r w:rsidRPr="00E94371">
        <w:rPr>
          <w:i/>
          <w:color w:val="000000"/>
        </w:rPr>
        <w:t>Id.</w:t>
      </w:r>
      <w:r w:rsidRPr="00E94371">
        <w:rPr>
          <w:color w:val="000000"/>
        </w:rPr>
        <w:t xml:space="preserve"> ¶¶ 139, 142.</w:t>
      </w:r>
    </w:p>
    <w:p w14:paraId="4D604FE7" w14:textId="77777777" w:rsidR="00316E7E" w:rsidRPr="00E94371" w:rsidRDefault="00316E7E" w:rsidP="00316E7E">
      <w:pPr>
        <w:spacing w:line="275" w:lineRule="atLeast"/>
        <w:jc w:val="both"/>
        <w:rPr>
          <w:color w:val="000000"/>
        </w:rPr>
      </w:pPr>
    </w:p>
    <w:p w14:paraId="02E63A45" w14:textId="77777777" w:rsidR="00316E7E" w:rsidRPr="00E94371" w:rsidRDefault="00316E7E" w:rsidP="00316E7E">
      <w:pPr>
        <w:spacing w:line="275" w:lineRule="atLeast"/>
        <w:jc w:val="both"/>
        <w:rPr>
          <w:color w:val="000000"/>
        </w:rPr>
      </w:pPr>
      <w:r w:rsidRPr="00E94371">
        <w:rPr>
          <w:color w:val="000000"/>
        </w:rPr>
        <w:t xml:space="preserve">*** </w:t>
      </w:r>
    </w:p>
    <w:p w14:paraId="55562B61" w14:textId="77777777" w:rsidR="00316E7E" w:rsidRPr="00E94371" w:rsidRDefault="00316E7E" w:rsidP="00316E7E">
      <w:pPr>
        <w:spacing w:line="275" w:lineRule="atLeast"/>
        <w:jc w:val="both"/>
        <w:rPr>
          <w:color w:val="000000"/>
        </w:rPr>
      </w:pPr>
    </w:p>
    <w:p w14:paraId="65CAF890" w14:textId="77777777" w:rsidR="00316E7E" w:rsidRPr="00E94371" w:rsidRDefault="00316E7E" w:rsidP="00316E7E">
      <w:pPr>
        <w:spacing w:line="275" w:lineRule="atLeast"/>
        <w:jc w:val="both"/>
        <w:rPr>
          <w:color w:val="000000"/>
        </w:rPr>
      </w:pPr>
      <w:bookmarkStart w:id="154" w:name="co_anchor_I06a1b071950c11ee85e2ac0b62"/>
      <w:bookmarkStart w:id="155" w:name="co_anchor_I06a1b071950c11ee85e2ac0b666a"/>
      <w:r w:rsidRPr="00E94371">
        <w:rPr>
          <w:b/>
          <w:color w:val="000000"/>
        </w:rPr>
        <w:t>C. Contract Claims</w:t>
      </w:r>
    </w:p>
    <w:bookmarkEnd w:id="154"/>
    <w:bookmarkEnd w:id="155"/>
    <w:p w14:paraId="36AE925E" w14:textId="77777777" w:rsidR="00316E7E" w:rsidRPr="00E94371" w:rsidRDefault="00316E7E" w:rsidP="00316E7E">
      <w:pPr>
        <w:spacing w:line="275" w:lineRule="atLeast"/>
        <w:jc w:val="both"/>
        <w:rPr>
          <w:color w:val="000000"/>
        </w:rPr>
      </w:pPr>
      <w:r w:rsidRPr="00E94371">
        <w:rPr>
          <w:color w:val="000000"/>
        </w:rPr>
        <w:t xml:space="preserve">In Counts Five through Seven, all Plaintiffs assert contract claims against Defendants. Specifically, Plaintiffs assert breach of contract in Count Five, breach of implied contract in Count Six, and breach of the implied covenant of good faith and fair dealing in Count Seven. Defendants move to dismiss these claims to the extent that they seek consequential </w:t>
      </w:r>
      <w:r w:rsidRPr="00E94371">
        <w:rPr>
          <w:color w:val="000000"/>
        </w:rPr>
        <w:lastRenderedPageBreak/>
        <w:t xml:space="preserve">damages in light of the limitations of liability in Defendants' Terms of Service. Mot. at 6–7. Plaintiffs argue that they have adequately pled </w:t>
      </w:r>
      <w:r w:rsidRPr="00E94371">
        <w:rPr>
          <w:i/>
          <w:iCs/>
          <w:color w:val="000000"/>
        </w:rPr>
        <w:t>that</w:t>
      </w:r>
      <w:r w:rsidRPr="00E94371">
        <w:rPr>
          <w:color w:val="000000"/>
        </w:rPr>
        <w:t xml:space="preserve"> Defendants' limitation-of-liability provisions are unconscionable. Opp. at 5–12. Alternatively, Plaintiffs argue that their claims seek direct damages from Defendants' breach of contractual obligations. </w:t>
      </w:r>
      <w:r w:rsidRPr="00E94371">
        <w:rPr>
          <w:i/>
          <w:color w:val="000000"/>
        </w:rPr>
        <w:t>Id.</w:t>
      </w:r>
      <w:r w:rsidRPr="00E94371">
        <w:rPr>
          <w:color w:val="000000"/>
        </w:rPr>
        <w:t xml:space="preserve"> at 13–14. Because the Court agrees that Plaintiffs have adequately pled unconscionability, the Court need not address Plaintiffs' alternative argument.</w:t>
      </w:r>
    </w:p>
    <w:p w14:paraId="6231E2C2" w14:textId="77777777" w:rsidR="00316E7E" w:rsidRPr="00E94371" w:rsidRDefault="00316E7E" w:rsidP="00316E7E">
      <w:pPr>
        <w:spacing w:line="275" w:lineRule="atLeast"/>
        <w:jc w:val="both"/>
        <w:rPr>
          <w:color w:val="000000"/>
        </w:rPr>
      </w:pPr>
      <w:r w:rsidRPr="00E94371">
        <w:rPr>
          <w:color w:val="000000"/>
        </w:rPr>
        <w:t> </w:t>
      </w:r>
    </w:p>
    <w:p w14:paraId="2ED518AD" w14:textId="77777777" w:rsidR="00316E7E" w:rsidRPr="00E94371" w:rsidRDefault="00316E7E" w:rsidP="00316E7E">
      <w:pPr>
        <w:spacing w:line="275" w:lineRule="atLeast"/>
        <w:jc w:val="both"/>
        <w:rPr>
          <w:color w:val="000000"/>
        </w:rPr>
      </w:pPr>
      <w:r w:rsidRPr="00E94371">
        <w:rPr>
          <w:color w:val="000000"/>
        </w:rPr>
        <w:t>Defendants argue that their Terms of Service bar recovery for damages other than direct damages. Specifically, Defendants point out that Yahoo's Terms of Service contained the following clause limiting Yahoo's liability:</w:t>
      </w:r>
    </w:p>
    <w:p w14:paraId="4020636A" w14:textId="77777777" w:rsidR="00316E7E" w:rsidRPr="00E94371" w:rsidRDefault="00316E7E" w:rsidP="00316E7E">
      <w:pPr>
        <w:spacing w:before="200" w:line="275" w:lineRule="atLeast"/>
        <w:ind w:left="480" w:right="480"/>
        <w:jc w:val="both"/>
        <w:rPr>
          <w:color w:val="000000"/>
        </w:rPr>
      </w:pPr>
      <w:r w:rsidRPr="00E94371">
        <w:rPr>
          <w:color w:val="000000"/>
        </w:rPr>
        <w:t xml:space="preserve">YOU EXPRESSLY UNDERSTAND AND AGREE THAT YAHOO! ... SHALL </w:t>
      </w:r>
      <w:r w:rsidRPr="00E94371">
        <w:rPr>
          <w:b/>
          <w:color w:val="000000"/>
        </w:rPr>
        <w:t>NOT BE LIABLE TO YOU FOR ANY PUNITIVE, INDIRECT, INCIDENTAL, SPECIAL, CONSEQUENTIAL OR EXEMPLARY DAMAGES</w:t>
      </w:r>
      <w:r w:rsidRPr="00E94371">
        <w:rPr>
          <w:color w:val="000000"/>
        </w:rPr>
        <w:t>, INCLUDING, BUT NOT LIMITED TO, DAMAGES FOR LOSS OF PROFITS, GOODWILL, USE, DATA OR OTHER INTANGIBLE LOSSES (EVEN IF YAHOO! HAS BEEN ADVISED OF THE POSSIBILITY OF SUCH DAMAGES), RESULTING FROM: ... UNAUTHORIZED ACCESS TO OR ALTERATION OF YOUR TRANSMISSIONS OR DATA ... OR ... ANY OTHER MATTER RELATING TO THE YAHOO! SERVICE.</w:t>
      </w:r>
    </w:p>
    <w:p w14:paraId="3592A6AF" w14:textId="77777777" w:rsidR="00316E7E" w:rsidRPr="00E94371" w:rsidRDefault="00316E7E" w:rsidP="00316E7E">
      <w:pPr>
        <w:spacing w:before="200" w:line="275" w:lineRule="atLeast"/>
        <w:jc w:val="both"/>
        <w:rPr>
          <w:color w:val="000000"/>
        </w:rPr>
      </w:pPr>
      <w:r w:rsidRPr="00E94371">
        <w:rPr>
          <w:color w:val="000000"/>
        </w:rPr>
        <w:t xml:space="preserve">FAC, Ex. 1, at 10 (emphasis added). </w:t>
      </w:r>
      <w:proofErr w:type="spellStart"/>
      <w:r w:rsidRPr="00E94371">
        <w:rPr>
          <w:color w:val="000000"/>
        </w:rPr>
        <w:t>Aabaco's</w:t>
      </w:r>
      <w:proofErr w:type="spellEnd"/>
      <w:r w:rsidRPr="00E94371">
        <w:rPr>
          <w:color w:val="000000"/>
        </w:rPr>
        <w:t xml:space="preserve"> Terms of Service contained the same clause limiting </w:t>
      </w:r>
      <w:proofErr w:type="spellStart"/>
      <w:r w:rsidRPr="00E94371">
        <w:rPr>
          <w:color w:val="000000"/>
        </w:rPr>
        <w:t>Aabaco's</w:t>
      </w:r>
      <w:proofErr w:type="spellEnd"/>
      <w:r w:rsidRPr="00E94371">
        <w:rPr>
          <w:color w:val="000000"/>
        </w:rPr>
        <w:t xml:space="preserve"> liability. </w:t>
      </w:r>
      <w:r w:rsidRPr="00E94371">
        <w:rPr>
          <w:i/>
          <w:color w:val="000000"/>
        </w:rPr>
        <w:t>Id.</w:t>
      </w:r>
      <w:r w:rsidRPr="00E94371">
        <w:rPr>
          <w:color w:val="000000"/>
        </w:rPr>
        <w:t>, Ex. 16, at 17. Plaintiffs argue that these limitations of liability are unconscionable. Opp. at 5–12.</w:t>
      </w:r>
    </w:p>
    <w:p w14:paraId="561164DC" w14:textId="77777777" w:rsidR="00316E7E" w:rsidRPr="00E94371" w:rsidRDefault="00316E7E" w:rsidP="00316E7E">
      <w:pPr>
        <w:spacing w:line="275" w:lineRule="atLeast"/>
        <w:jc w:val="both"/>
        <w:rPr>
          <w:color w:val="000000"/>
        </w:rPr>
      </w:pPr>
      <w:r w:rsidRPr="00E94371">
        <w:rPr>
          <w:color w:val="000000"/>
        </w:rPr>
        <w:t> </w:t>
      </w:r>
    </w:p>
    <w:p w14:paraId="74572B3A" w14:textId="77777777" w:rsidR="00316E7E" w:rsidRPr="00E94371" w:rsidRDefault="00316E7E" w:rsidP="00316E7E">
      <w:pPr>
        <w:spacing w:line="275" w:lineRule="atLeast"/>
        <w:jc w:val="both"/>
        <w:rPr>
          <w:color w:val="000000"/>
        </w:rPr>
      </w:pPr>
      <w:bookmarkStart w:id="156" w:name="co_anchor_B202043988452_1"/>
      <w:bookmarkStart w:id="157" w:name="co_anchor_B212043988452_1"/>
      <w:bookmarkStart w:id="158" w:name="co_anchor_B222043988452_1"/>
      <w:bookmarkStart w:id="159" w:name="co_anchor_B232043988452_1"/>
      <w:bookmarkEnd w:id="156"/>
      <w:bookmarkEnd w:id="157"/>
      <w:bookmarkEnd w:id="158"/>
      <w:bookmarkEnd w:id="159"/>
      <w:r w:rsidRPr="00E94371">
        <w:rPr>
          <w:color w:val="000000"/>
        </w:rPr>
        <w:t xml:space="preserve">In order to state a claim that a contractual term is unconscionable, Plaintiffs must allege facts showing that the term is both procedurally and substantively unconscionable. </w:t>
      </w:r>
      <w:r w:rsidRPr="00E94371">
        <w:rPr>
          <w:i/>
          <w:color w:val="000000"/>
        </w:rPr>
        <w:t>Pokorny v. Quixtar, Inc.</w:t>
      </w:r>
      <w:r w:rsidRPr="00E94371">
        <w:rPr>
          <w:color w:val="000000"/>
        </w:rPr>
        <w:t xml:space="preserve">, 601 F.3d 987, 996 (9th Cir. 2010); </w:t>
      </w:r>
      <w:r w:rsidRPr="00E94371">
        <w:rPr>
          <w:i/>
          <w:color w:val="000000"/>
        </w:rPr>
        <w:t>In re iPhone Application Litig.</w:t>
      </w:r>
      <w:r w:rsidRPr="00E94371">
        <w:rPr>
          <w:color w:val="000000"/>
        </w:rPr>
        <w:t xml:space="preserve">, No. 11-MD-02250-LHK, 2011 WL 4403963, at *7 (N.D. Cal. Sept. 20, 2011). “The procedural element of unconscionability focuses on two factors: oppression and surprise.” </w:t>
      </w:r>
      <w:r w:rsidRPr="00E94371">
        <w:rPr>
          <w:i/>
          <w:color w:val="000000"/>
        </w:rPr>
        <w:t>Aron v. U–Haul Co. of Cal.</w:t>
      </w:r>
      <w:r w:rsidRPr="00E94371">
        <w:rPr>
          <w:color w:val="000000"/>
        </w:rPr>
        <w:t xml:space="preserve">, 143 Cal.App.4th 796, 49 Cal.Rptr.3d 555, 564 (2006). “The substantive element of unconscionability focuses on the actual terms of the agreement and evaluates whether they create overly harsh or one-sided results as to shock the conscience.” </w:t>
      </w:r>
      <w:r w:rsidRPr="00E94371">
        <w:rPr>
          <w:i/>
          <w:color w:val="000000"/>
        </w:rPr>
        <w:t>Id.</w:t>
      </w:r>
      <w:r w:rsidRPr="00E94371">
        <w:rPr>
          <w:color w:val="000000"/>
        </w:rPr>
        <w:t xml:space="preserve"> (internal quotation marks and citation omitted). Although unconscionability is ultimately a question of law, “numerous factual inquiries bear upon that question.” </w:t>
      </w:r>
      <w:r w:rsidRPr="00E94371">
        <w:rPr>
          <w:i/>
          <w:color w:val="000000"/>
        </w:rPr>
        <w:t>A &amp; M Produce Co. v. FMC Corp.</w:t>
      </w:r>
      <w:r w:rsidRPr="00E94371">
        <w:rPr>
          <w:color w:val="000000"/>
        </w:rPr>
        <w:t xml:space="preserve">, 135 Cal.App.3d 473, 186 </w:t>
      </w:r>
      <w:proofErr w:type="spellStart"/>
      <w:r w:rsidRPr="00E94371">
        <w:rPr>
          <w:color w:val="000000"/>
        </w:rPr>
        <w:t>Cal.Rptr</w:t>
      </w:r>
      <w:proofErr w:type="spellEnd"/>
      <w:r w:rsidRPr="00E94371">
        <w:rPr>
          <w:color w:val="000000"/>
        </w:rPr>
        <w:t>. 114, 123 (1982).</w:t>
      </w:r>
    </w:p>
    <w:p w14:paraId="4F225212" w14:textId="77777777" w:rsidR="00316E7E" w:rsidRPr="00E94371" w:rsidRDefault="00316E7E" w:rsidP="00316E7E">
      <w:pPr>
        <w:spacing w:line="275" w:lineRule="atLeast"/>
        <w:jc w:val="both"/>
        <w:rPr>
          <w:color w:val="000000"/>
        </w:rPr>
      </w:pPr>
      <w:r w:rsidRPr="00E94371">
        <w:rPr>
          <w:color w:val="000000"/>
        </w:rPr>
        <w:t> </w:t>
      </w:r>
    </w:p>
    <w:p w14:paraId="72B35C12" w14:textId="4E7BBA2F" w:rsidR="00316E7E" w:rsidRPr="00E94371" w:rsidRDefault="00316E7E" w:rsidP="00316E7E">
      <w:pPr>
        <w:spacing w:line="275" w:lineRule="atLeast"/>
        <w:jc w:val="both"/>
        <w:rPr>
          <w:color w:val="000000"/>
        </w:rPr>
      </w:pPr>
      <w:bookmarkStart w:id="160" w:name="co_anchor_B242043988452_1"/>
      <w:bookmarkEnd w:id="160"/>
      <w:r w:rsidRPr="00E94371">
        <w:rPr>
          <w:color w:val="000000"/>
        </w:rPr>
        <w:t xml:space="preserve">Plaintiffs have adequately alleged oppression and surprise to support procedural unconscionability. “Oppression arises from an inequality of bargaining power which results in no real negotiation and an absence of meaningful choice.” </w:t>
      </w:r>
      <w:r w:rsidRPr="00E94371">
        <w:rPr>
          <w:i/>
          <w:color w:val="000000"/>
        </w:rPr>
        <w:t>Id.</w:t>
      </w:r>
      <w:r w:rsidRPr="00E94371">
        <w:rPr>
          <w:color w:val="000000"/>
        </w:rPr>
        <w:t xml:space="preserve"> at 122 (internal quotation marks and citation omitted). “Surprise involves the extent to which the supposedly agreed-upon terms of the bargain are hidden in a prolix printed form drafted by the party seeking to enforce the disputed terms.” </w:t>
      </w:r>
      <w:r w:rsidRPr="00E94371">
        <w:rPr>
          <w:i/>
          <w:color w:val="000000"/>
        </w:rPr>
        <w:t>Id.</w:t>
      </w:r>
      <w:r w:rsidRPr="00E94371">
        <w:rPr>
          <w:color w:val="000000"/>
        </w:rPr>
        <w:t xml:space="preserve"> (internal quotation marks omitted). The Ninth Circuit has held that “a contract is procedurally unconscionable under California law if it is ‘a standardized contract, drafted by the party of superior bargaining strength, that relegates to the subscribing party only the opportunity to adhere to the contract or reject it.</w:t>
      </w:r>
      <w:proofErr w:type="gramStart"/>
      <w:r w:rsidRPr="00E94371">
        <w:rPr>
          <w:color w:val="000000"/>
        </w:rPr>
        <w:t>’ ”</w:t>
      </w:r>
      <w:proofErr w:type="gramEnd"/>
      <w:r w:rsidRPr="00E94371">
        <w:rPr>
          <w:color w:val="000000"/>
        </w:rPr>
        <w:t xml:space="preserve"> </w:t>
      </w:r>
      <w:r w:rsidRPr="00E94371">
        <w:rPr>
          <w:i/>
          <w:color w:val="000000"/>
        </w:rPr>
        <w:t>Pokorny</w:t>
      </w:r>
      <w:r w:rsidRPr="00E94371">
        <w:rPr>
          <w:color w:val="000000"/>
        </w:rPr>
        <w:t xml:space="preserve">, 601 F.3d at 996 (quoting </w:t>
      </w:r>
      <w:r w:rsidRPr="00E94371">
        <w:rPr>
          <w:i/>
          <w:color w:val="000000"/>
        </w:rPr>
        <w:t>Ting v. AT &amp; T</w:t>
      </w:r>
      <w:r w:rsidRPr="00E94371">
        <w:rPr>
          <w:color w:val="000000"/>
        </w:rPr>
        <w:t>, 319 F.3d 1126, 1148 (9th Cir. 2003</w:t>
      </w:r>
      <w:proofErr w:type="gramStart"/>
      <w:r w:rsidRPr="00E94371">
        <w:rPr>
          <w:color w:val="000000"/>
        </w:rPr>
        <w:t>) )</w:t>
      </w:r>
      <w:proofErr w:type="gramEnd"/>
      <w:r w:rsidRPr="00E94371">
        <w:rPr>
          <w:color w:val="000000"/>
        </w:rPr>
        <w:t xml:space="preserve">. Plaintiffs plead such a circumstance in alleging that Defendants' liability limitations appear near the end of </w:t>
      </w:r>
      <w:r w:rsidRPr="00E94371">
        <w:rPr>
          <w:color w:val="000000"/>
        </w:rPr>
        <w:lastRenderedPageBreak/>
        <w:t xml:space="preserve">the 12–page legal Terms of Service document where the Terms of Service are contained in an adhesion contract and customers may not negotiate or modify any terms. FAC ¶¶ 236–37. Although the fact that Plaintiffs could have used other email services may weaken their procedural unconscionability claim, the Ninth Circuit has “consistently followed the [California] courts that reject the notion that the existence of ‘marketplace alternatives’ bars a finding of procedural unconscionability.” </w:t>
      </w:r>
      <w:r w:rsidRPr="00E94371">
        <w:rPr>
          <w:i/>
          <w:color w:val="000000"/>
        </w:rPr>
        <w:t>Shroyer v. New Cingular Wireless Servs., Inc.</w:t>
      </w:r>
      <w:r w:rsidRPr="00E94371">
        <w:rPr>
          <w:color w:val="000000"/>
        </w:rPr>
        <w:t>, 498 F.3d 976, 985 (9th Cir. 2007).</w:t>
      </w:r>
    </w:p>
    <w:p w14:paraId="65E00F14" w14:textId="77777777" w:rsidR="00316E7E" w:rsidRPr="00E94371" w:rsidRDefault="00316E7E" w:rsidP="00316E7E">
      <w:pPr>
        <w:spacing w:line="275" w:lineRule="atLeast"/>
        <w:jc w:val="both"/>
        <w:rPr>
          <w:color w:val="000000"/>
        </w:rPr>
      </w:pPr>
      <w:r w:rsidRPr="00E94371">
        <w:rPr>
          <w:color w:val="000000"/>
        </w:rPr>
        <w:t> </w:t>
      </w:r>
    </w:p>
    <w:p w14:paraId="5FAF6BDF" w14:textId="77777777" w:rsidR="00316E7E" w:rsidRPr="00E94371" w:rsidRDefault="00316E7E" w:rsidP="00316E7E">
      <w:pPr>
        <w:spacing w:line="275" w:lineRule="atLeast"/>
        <w:jc w:val="both"/>
        <w:rPr>
          <w:color w:val="000000"/>
        </w:rPr>
      </w:pPr>
      <w:bookmarkStart w:id="161" w:name="co_anchor_B252043988452_1"/>
      <w:bookmarkEnd w:id="161"/>
      <w:r w:rsidRPr="00E94371">
        <w:rPr>
          <w:color w:val="000000"/>
        </w:rPr>
        <w:t xml:space="preserve">Under the particular circumstances of this case, Plaintiffs have also made sufficient allegations to support substantive unconscionability. In particular, Plaintiffs claim that the limitations of liability are overly one-sided and bar any effective relief. FAC ¶¶ 238, 240. In </w:t>
      </w:r>
      <w:r w:rsidRPr="00E94371">
        <w:rPr>
          <w:i/>
          <w:color w:val="000000"/>
        </w:rPr>
        <w:t>Silicon Valley Self Direct, LLC v. Paychex, Inc.</w:t>
      </w:r>
      <w:r w:rsidRPr="00E94371">
        <w:rPr>
          <w:color w:val="000000"/>
        </w:rPr>
        <w:t>, the court found substantively unconscionable a nearly identical provision that “exempt[ed] under all circumstances ‘special, indirect, incidental, or consequential or punitive damages, including any theory of liability (including contract, tort or warranty).</w:t>
      </w:r>
      <w:proofErr w:type="gramStart"/>
      <w:r w:rsidRPr="00E94371">
        <w:rPr>
          <w:color w:val="000000"/>
        </w:rPr>
        <w:t>’ ”</w:t>
      </w:r>
      <w:proofErr w:type="gramEnd"/>
      <w:r w:rsidRPr="00E94371">
        <w:rPr>
          <w:color w:val="000000"/>
        </w:rPr>
        <w:t xml:space="preserve"> No. 15-CV-01055-EJD, 2015 WL 4452373, at *6 (N.D. Cal. July 20, 2015). Like the provision at issue in </w:t>
      </w:r>
      <w:r w:rsidRPr="00E94371">
        <w:rPr>
          <w:i/>
          <w:color w:val="000000"/>
        </w:rPr>
        <w:t>Silicon Valley</w:t>
      </w:r>
      <w:r w:rsidRPr="00E94371">
        <w:rPr>
          <w:color w:val="000000"/>
        </w:rPr>
        <w:t xml:space="preserve">, Defendants' limitations of liability here involve “expansive liability limitation and preclusion of nearly every type of damages claim.” </w:t>
      </w:r>
      <w:r w:rsidRPr="00E94371">
        <w:rPr>
          <w:i/>
          <w:color w:val="000000"/>
        </w:rPr>
        <w:t>Id.</w:t>
      </w:r>
      <w:r w:rsidRPr="00E94371">
        <w:rPr>
          <w:color w:val="000000"/>
        </w:rPr>
        <w:t xml:space="preserve"> California courts have similarly concluded that limitations are substantively unconscionable when they “</w:t>
      </w:r>
      <w:proofErr w:type="gramStart"/>
      <w:r w:rsidRPr="00E94371">
        <w:rPr>
          <w:color w:val="000000"/>
        </w:rPr>
        <w:t>guarantee[</w:t>
      </w:r>
      <w:proofErr w:type="gramEnd"/>
      <w:r w:rsidRPr="00E94371">
        <w:rPr>
          <w:color w:val="000000"/>
        </w:rPr>
        <w:t xml:space="preserve"> ] that plaintiffs could not possibly obtain anything approaching full recompense for their harm.” </w:t>
      </w:r>
      <w:r w:rsidRPr="00E94371">
        <w:rPr>
          <w:i/>
          <w:color w:val="000000"/>
        </w:rPr>
        <w:t>Lhotka v. Geographic Expeditions, Inc.</w:t>
      </w:r>
      <w:r w:rsidRPr="00E94371">
        <w:rPr>
          <w:color w:val="000000"/>
        </w:rPr>
        <w:t xml:space="preserve">, 181 Cal.App.4th 816, 104 Cal.Rptr.3d 844, 852 (2010); </w:t>
      </w:r>
      <w:r w:rsidRPr="00E94371">
        <w:rPr>
          <w:i/>
          <w:color w:val="000000"/>
        </w:rPr>
        <w:t>see also</w:t>
      </w:r>
      <w:r w:rsidRPr="00E94371">
        <w:rPr>
          <w:color w:val="000000"/>
        </w:rPr>
        <w:t xml:space="preserve"> </w:t>
      </w:r>
      <w:r w:rsidRPr="00E94371">
        <w:rPr>
          <w:i/>
          <w:color w:val="000000"/>
        </w:rPr>
        <w:t>Harper v. Ultimo</w:t>
      </w:r>
      <w:r w:rsidRPr="00E94371">
        <w:rPr>
          <w:color w:val="000000"/>
        </w:rPr>
        <w:t xml:space="preserve">, 113 Cal.App.4th 1402, 7 Cal.Rptr.3d 418, 423 (2003) (finding substantive unconscionability where the damages limitation at issue did not even allow for “the theoretical </w:t>
      </w:r>
      <w:r w:rsidRPr="00E94371">
        <w:rPr>
          <w:i/>
          <w:color w:val="000000"/>
        </w:rPr>
        <w:t>possibility</w:t>
      </w:r>
      <w:r w:rsidRPr="00E94371">
        <w:rPr>
          <w:color w:val="000000"/>
        </w:rPr>
        <w:t xml:space="preserve"> [that the customer] can be made whole”).</w:t>
      </w:r>
    </w:p>
    <w:p w14:paraId="67CA42A5" w14:textId="77777777" w:rsidR="00316E7E" w:rsidRPr="00E94371" w:rsidRDefault="00316E7E" w:rsidP="00316E7E">
      <w:pPr>
        <w:spacing w:line="275" w:lineRule="atLeast"/>
        <w:jc w:val="both"/>
        <w:rPr>
          <w:color w:val="000000"/>
        </w:rPr>
      </w:pPr>
      <w:r w:rsidRPr="00E94371">
        <w:rPr>
          <w:color w:val="000000"/>
        </w:rPr>
        <w:t> </w:t>
      </w:r>
    </w:p>
    <w:p w14:paraId="556B9EB7" w14:textId="77777777" w:rsidR="00316E7E" w:rsidRPr="00E94371" w:rsidRDefault="00316E7E" w:rsidP="00316E7E">
      <w:pPr>
        <w:spacing w:line="275" w:lineRule="atLeast"/>
        <w:jc w:val="both"/>
        <w:rPr>
          <w:color w:val="000000"/>
        </w:rPr>
      </w:pPr>
      <w:r w:rsidRPr="00E94371">
        <w:rPr>
          <w:color w:val="000000"/>
        </w:rPr>
        <w:t xml:space="preserve">Defendants suggest that their limitations of liability are not so broad. For example, they point out that there is no bar on direct damages. Mot. at 12. Nevertheless, the same was true in </w:t>
      </w:r>
      <w:r w:rsidRPr="00E94371">
        <w:rPr>
          <w:i/>
          <w:color w:val="000000"/>
        </w:rPr>
        <w:t>Silicon Valley</w:t>
      </w:r>
      <w:r w:rsidRPr="00E94371">
        <w:rPr>
          <w:color w:val="000000"/>
        </w:rPr>
        <w:t>. Moreover, Plaintiffs further support this point by pleading that “[c]</w:t>
      </w:r>
      <w:proofErr w:type="spellStart"/>
      <w:r w:rsidRPr="00E94371">
        <w:rPr>
          <w:color w:val="000000"/>
        </w:rPr>
        <w:t>onsequential</w:t>
      </w:r>
      <w:proofErr w:type="spellEnd"/>
      <w:r w:rsidRPr="00E94371">
        <w:rPr>
          <w:color w:val="000000"/>
        </w:rPr>
        <w:t xml:space="preserve"> damages are ... a clear and well-understood consequence of a data breach.” FAC ¶ 240. That allegation further supports Plaintiffs' argument that consequential damages are imperative to address the injuries from Defendants' inadequate security. Additionally, substantive unconscionability is not defeated by Defendants' promise not to invoke the limitations against certain of Plaintiffs' claims in this case. Mot. at 12. The substantive unconscionability inquiry looks to whether the </w:t>
      </w:r>
      <w:r w:rsidRPr="00E94371">
        <w:rPr>
          <w:i/>
          <w:color w:val="000000"/>
        </w:rPr>
        <w:t>actual terms</w:t>
      </w:r>
      <w:r w:rsidRPr="00E94371">
        <w:rPr>
          <w:color w:val="000000"/>
        </w:rPr>
        <w:t xml:space="preserve"> of the agreement create overly harsh or one-sided results. </w:t>
      </w:r>
      <w:r w:rsidRPr="00E94371">
        <w:rPr>
          <w:i/>
          <w:color w:val="000000"/>
        </w:rPr>
        <w:t>Aron</w:t>
      </w:r>
      <w:r w:rsidRPr="00E94371">
        <w:rPr>
          <w:color w:val="000000"/>
        </w:rPr>
        <w:t>, 49 Cal.Rptr.3d at 564. Here, Defendants do not point to any language in their limitations of liability that restricts their scope. Hence, the actual terms of the limitations of liability allow Defendants to evade important California common-law and statutory obligations, such as the CRA and CLRA. FAC ¶ 242.</w:t>
      </w:r>
    </w:p>
    <w:p w14:paraId="1CB4A61A" w14:textId="77777777" w:rsidR="00316E7E" w:rsidRPr="00E94371" w:rsidRDefault="00316E7E" w:rsidP="00316E7E">
      <w:pPr>
        <w:spacing w:line="275" w:lineRule="atLeast"/>
        <w:jc w:val="both"/>
        <w:rPr>
          <w:color w:val="000000"/>
        </w:rPr>
      </w:pPr>
      <w:r w:rsidRPr="00E94371">
        <w:rPr>
          <w:color w:val="000000"/>
        </w:rPr>
        <w:t> </w:t>
      </w:r>
    </w:p>
    <w:p w14:paraId="59550232" w14:textId="77777777" w:rsidR="00316E7E" w:rsidRPr="00E94371" w:rsidRDefault="00316E7E" w:rsidP="00316E7E">
      <w:pPr>
        <w:spacing w:line="275" w:lineRule="atLeast"/>
        <w:jc w:val="both"/>
        <w:rPr>
          <w:color w:val="000000"/>
        </w:rPr>
      </w:pPr>
      <w:bookmarkStart w:id="162" w:name="co_anchor_B262043988452_1"/>
      <w:bookmarkEnd w:id="162"/>
      <w:r w:rsidRPr="00E94371">
        <w:rPr>
          <w:color w:val="000000"/>
        </w:rPr>
        <w:t xml:space="preserve">Finally, Plaintiffs make allegations about the lack of a reasonable commercial justification for Defendants' limitations on liability. Plaintiffs point out that “Defendants have obligations under both state and federal law to maintain acceptable levels of data security” and are better-equipped to bear the risk as “technology giants providing internet services which they advertised as being safe and sophisticated.” </w:t>
      </w:r>
      <w:r w:rsidRPr="00E94371">
        <w:rPr>
          <w:i/>
          <w:color w:val="000000"/>
        </w:rPr>
        <w:t>Id.</w:t>
      </w:r>
      <w:r w:rsidRPr="00E94371">
        <w:rPr>
          <w:color w:val="000000"/>
        </w:rPr>
        <w:t xml:space="preserve"> ¶ 239. In contrast, individual users “who just want to sign up for an email address” are not as well-situated to shoulder such risks. </w:t>
      </w:r>
      <w:r w:rsidRPr="00E94371">
        <w:rPr>
          <w:i/>
          <w:color w:val="000000"/>
        </w:rPr>
        <w:t>Id.</w:t>
      </w:r>
      <w:r w:rsidRPr="00E94371">
        <w:rPr>
          <w:color w:val="000000"/>
        </w:rPr>
        <w:t xml:space="preserve"> ¶ 240. In this way, Plaintiffs conclude that the limitations' allocation of risk is </w:t>
      </w:r>
      <w:r w:rsidRPr="00E94371">
        <w:rPr>
          <w:color w:val="000000"/>
        </w:rPr>
        <w:lastRenderedPageBreak/>
        <w:t xml:space="preserve">unreasonable and unexpected. </w:t>
      </w:r>
      <w:r w:rsidRPr="00E94371">
        <w:rPr>
          <w:i/>
          <w:color w:val="000000"/>
        </w:rPr>
        <w:t>See id.</w:t>
      </w:r>
      <w:r w:rsidRPr="00E94371">
        <w:rPr>
          <w:color w:val="000000"/>
        </w:rPr>
        <w:t xml:space="preserve"> (alleging a “commercially unfair re-allocation of risk”). To be sure, when a defendant offers a free service, it may be commercially reasonable for the defendant to “retain broad discretion over those services and to minimize its exposure to monetary damages.” </w:t>
      </w:r>
      <w:proofErr w:type="spellStart"/>
      <w:r w:rsidRPr="00E94371">
        <w:rPr>
          <w:i/>
          <w:color w:val="000000"/>
        </w:rPr>
        <w:t>Darnaa</w:t>
      </w:r>
      <w:proofErr w:type="spellEnd"/>
      <w:r w:rsidRPr="00E94371">
        <w:rPr>
          <w:i/>
          <w:color w:val="000000"/>
        </w:rPr>
        <w:t>, LLC v. Google, Inc.</w:t>
      </w:r>
      <w:r w:rsidRPr="00E94371">
        <w:rPr>
          <w:color w:val="000000"/>
        </w:rPr>
        <w:t>, No. 15-CV-03221-RMW, 2015 WL 7753406, at *3 (N.D. Cal. Dec. 2, 2015). However, especially in light of the allegations that Defendants took minimal action despite knowing about their inadequate security measures, Plaintiffs adequately plead that Defendants' limitations of liability are substantively unconscionable.</w:t>
      </w:r>
    </w:p>
    <w:p w14:paraId="2D420E55" w14:textId="77777777" w:rsidR="00316E7E" w:rsidRPr="00E94371" w:rsidRDefault="00316E7E" w:rsidP="00316E7E">
      <w:pPr>
        <w:spacing w:line="275" w:lineRule="atLeast"/>
        <w:jc w:val="both"/>
        <w:rPr>
          <w:color w:val="000000"/>
        </w:rPr>
      </w:pPr>
      <w:r w:rsidRPr="00E94371">
        <w:rPr>
          <w:color w:val="000000"/>
        </w:rPr>
        <w:t> </w:t>
      </w:r>
    </w:p>
    <w:p w14:paraId="5A2CA85F" w14:textId="77777777" w:rsidR="00316E7E" w:rsidRPr="00E94371" w:rsidRDefault="00316E7E" w:rsidP="00316E7E">
      <w:pPr>
        <w:spacing w:line="275" w:lineRule="atLeast"/>
        <w:jc w:val="both"/>
        <w:rPr>
          <w:color w:val="000000"/>
        </w:rPr>
      </w:pPr>
      <w:r w:rsidRPr="00E94371">
        <w:rPr>
          <w:color w:val="000000"/>
        </w:rPr>
        <w:t>In sum, Plaintiffs have adequately pled the necessary elements of procedural and substantive unconscionability. Accordingly, the Court DENIES Defendants' motion to dismiss Plaintiffs' claims for breach of contract, breach of implied contract, and breach of the implied covenant of good faith and fair dealing.</w:t>
      </w:r>
    </w:p>
    <w:p w14:paraId="5E66435C" w14:textId="77777777" w:rsidR="00316E7E" w:rsidRDefault="00316E7E" w:rsidP="004F4E7A">
      <w:pPr>
        <w:widowControl w:val="0"/>
        <w:autoSpaceDE w:val="0"/>
        <w:autoSpaceDN w:val="0"/>
        <w:adjustRightInd w:val="0"/>
        <w:jc w:val="both"/>
        <w:rPr>
          <w:color w:val="000000"/>
          <w:szCs w:val="22"/>
        </w:rPr>
      </w:pPr>
    </w:p>
    <w:p w14:paraId="5EC3ED33" w14:textId="77777777" w:rsidR="00723553" w:rsidRPr="00EF577A" w:rsidRDefault="00723553" w:rsidP="004F4E7A">
      <w:pPr>
        <w:widowControl w:val="0"/>
        <w:autoSpaceDE w:val="0"/>
        <w:autoSpaceDN w:val="0"/>
        <w:adjustRightInd w:val="0"/>
        <w:jc w:val="both"/>
        <w:rPr>
          <w:color w:val="000000"/>
          <w:szCs w:val="22"/>
        </w:rPr>
      </w:pPr>
    </w:p>
    <w:p w14:paraId="5EC96EE7" w14:textId="77777777" w:rsidR="00723553" w:rsidRPr="00EF577A" w:rsidRDefault="00723553" w:rsidP="004F4E7A">
      <w:pPr>
        <w:widowControl w:val="0"/>
        <w:autoSpaceDE w:val="0"/>
        <w:autoSpaceDN w:val="0"/>
        <w:adjustRightInd w:val="0"/>
        <w:jc w:val="both"/>
        <w:rPr>
          <w:color w:val="000000"/>
          <w:szCs w:val="22"/>
        </w:rPr>
      </w:pPr>
    </w:p>
    <w:p w14:paraId="3384E9D7" w14:textId="77777777" w:rsidR="004F4E7A" w:rsidRPr="00EF577A" w:rsidRDefault="004F4E7A" w:rsidP="004F4E7A">
      <w:pPr>
        <w:widowControl w:val="0"/>
        <w:autoSpaceDE w:val="0"/>
        <w:autoSpaceDN w:val="0"/>
        <w:adjustRightInd w:val="0"/>
        <w:jc w:val="both"/>
        <w:rPr>
          <w:color w:val="000000"/>
          <w:szCs w:val="22"/>
        </w:rPr>
      </w:pPr>
    </w:p>
    <w:p w14:paraId="477A0996" w14:textId="77777777" w:rsidR="00723553" w:rsidRPr="00EF577A" w:rsidRDefault="00723553" w:rsidP="00723553">
      <w:pPr>
        <w:jc w:val="center"/>
        <w:outlineLvl w:val="0"/>
        <w:rPr>
          <w:color w:val="000000" w:themeColor="text1"/>
          <w:szCs w:val="22"/>
        </w:rPr>
      </w:pPr>
      <w:bookmarkStart w:id="163" w:name="_Toc146184837"/>
      <w:bookmarkStart w:id="164" w:name="_Toc186019894"/>
      <w:r w:rsidRPr="00EF577A">
        <w:rPr>
          <w:color w:val="000000" w:themeColor="text1"/>
          <w:szCs w:val="22"/>
        </w:rPr>
        <w:t>Zango, Inc. v. PC Tools Pty Ltd.</w:t>
      </w:r>
      <w:bookmarkEnd w:id="163"/>
      <w:bookmarkEnd w:id="164"/>
    </w:p>
    <w:p w14:paraId="2FCEA552" w14:textId="77777777" w:rsidR="00723553" w:rsidRPr="00EF577A" w:rsidRDefault="00723553" w:rsidP="00723553">
      <w:pPr>
        <w:jc w:val="center"/>
        <w:rPr>
          <w:color w:val="000000" w:themeColor="text1"/>
          <w:szCs w:val="22"/>
        </w:rPr>
      </w:pPr>
      <w:r w:rsidRPr="00EF577A">
        <w:rPr>
          <w:color w:val="000000" w:themeColor="text1"/>
          <w:szCs w:val="22"/>
        </w:rPr>
        <w:t>494 F. Supp. 2d 1189 (2007)</w:t>
      </w:r>
    </w:p>
    <w:p w14:paraId="25A90EDC" w14:textId="77777777" w:rsidR="00723553" w:rsidRPr="00EF577A" w:rsidRDefault="00723553" w:rsidP="00723553">
      <w:pPr>
        <w:jc w:val="center"/>
        <w:rPr>
          <w:color w:val="000000" w:themeColor="text1"/>
          <w:szCs w:val="22"/>
        </w:rPr>
      </w:pPr>
      <w:r w:rsidRPr="00EF577A">
        <w:rPr>
          <w:color w:val="000000" w:themeColor="text1"/>
          <w:szCs w:val="22"/>
        </w:rPr>
        <w:t>United States District Court,</w:t>
      </w:r>
    </w:p>
    <w:p w14:paraId="61ABE01E" w14:textId="77777777" w:rsidR="00723553" w:rsidRPr="00EF577A" w:rsidRDefault="00723553" w:rsidP="00723553">
      <w:pPr>
        <w:jc w:val="center"/>
        <w:rPr>
          <w:color w:val="000000" w:themeColor="text1"/>
          <w:szCs w:val="22"/>
        </w:rPr>
      </w:pPr>
      <w:r w:rsidRPr="00EF577A">
        <w:rPr>
          <w:color w:val="000000" w:themeColor="text1"/>
          <w:szCs w:val="22"/>
        </w:rPr>
        <w:t>W.D. Washington</w:t>
      </w:r>
    </w:p>
    <w:p w14:paraId="19C1C2B5" w14:textId="77777777" w:rsidR="00723553" w:rsidRPr="00EF577A" w:rsidRDefault="00723553" w:rsidP="00723553">
      <w:pPr>
        <w:jc w:val="center"/>
        <w:rPr>
          <w:color w:val="000000" w:themeColor="text1"/>
          <w:szCs w:val="22"/>
        </w:rPr>
      </w:pPr>
    </w:p>
    <w:p w14:paraId="39574B22" w14:textId="77777777" w:rsidR="00723553" w:rsidRPr="00EF577A" w:rsidRDefault="00723553" w:rsidP="00723553">
      <w:pPr>
        <w:jc w:val="center"/>
        <w:rPr>
          <w:color w:val="000000" w:themeColor="text1"/>
          <w:szCs w:val="22"/>
        </w:rPr>
      </w:pPr>
    </w:p>
    <w:p w14:paraId="64EA25BA" w14:textId="77777777" w:rsidR="00723553" w:rsidRPr="00EF577A" w:rsidRDefault="00723553" w:rsidP="00723553">
      <w:pPr>
        <w:jc w:val="center"/>
        <w:rPr>
          <w:color w:val="000000" w:themeColor="text1"/>
          <w:szCs w:val="22"/>
        </w:rPr>
      </w:pPr>
      <w:bookmarkStart w:id="165" w:name="co_anchor_I603fdeab907d11ea80afece792"/>
      <w:bookmarkStart w:id="166" w:name="co_anchor_I603fdeab907d11ea80afece79915"/>
      <w:bookmarkStart w:id="167" w:name="co_anchor_I603fdea9907d11ea80afece79915"/>
      <w:r w:rsidRPr="00EF577A">
        <w:rPr>
          <w:color w:val="000000" w:themeColor="text1"/>
          <w:szCs w:val="22"/>
        </w:rPr>
        <w:t>ORDER</w:t>
      </w:r>
    </w:p>
    <w:bookmarkEnd w:id="165"/>
    <w:bookmarkEnd w:id="166"/>
    <w:bookmarkEnd w:id="167"/>
    <w:p w14:paraId="05B62A43" w14:textId="77777777" w:rsidR="00723553" w:rsidRPr="00EF577A" w:rsidRDefault="00723553" w:rsidP="00723553">
      <w:pPr>
        <w:spacing w:before="400" w:line="275" w:lineRule="atLeast"/>
        <w:jc w:val="both"/>
        <w:rPr>
          <w:color w:val="000000" w:themeColor="text1"/>
          <w:szCs w:val="22"/>
        </w:rPr>
      </w:pPr>
      <w:r w:rsidRPr="00EF577A">
        <w:rPr>
          <w:color w:val="000000" w:themeColor="text1"/>
          <w:szCs w:val="22"/>
        </w:rPr>
        <w:t>COUGHENOUR, District Judge.</w:t>
      </w:r>
    </w:p>
    <w:p w14:paraId="38801013" w14:textId="77777777" w:rsidR="00723553" w:rsidRPr="00EF577A" w:rsidRDefault="00723553" w:rsidP="00723553">
      <w:pPr>
        <w:spacing w:before="600" w:line="275" w:lineRule="atLeast"/>
        <w:rPr>
          <w:color w:val="000000" w:themeColor="text1"/>
          <w:szCs w:val="22"/>
        </w:rPr>
      </w:pPr>
      <w:bookmarkStart w:id="168" w:name="co_anchor_I603fdeac907d11ea80afece792"/>
      <w:bookmarkStart w:id="169" w:name="co_anchor_I603fdeac907d11ea80afece79915"/>
      <w:r w:rsidRPr="00EF577A">
        <w:rPr>
          <w:b/>
          <w:color w:val="000000" w:themeColor="text1"/>
          <w:szCs w:val="22"/>
        </w:rPr>
        <w:t>I. INTRODUCTION</w:t>
      </w:r>
    </w:p>
    <w:bookmarkEnd w:id="168"/>
    <w:bookmarkEnd w:id="169"/>
    <w:p w14:paraId="23F58A89" w14:textId="77777777" w:rsidR="00723553" w:rsidRPr="00EF577A" w:rsidRDefault="00723553" w:rsidP="00723553">
      <w:pPr>
        <w:spacing w:line="275" w:lineRule="atLeast"/>
        <w:jc w:val="both"/>
        <w:rPr>
          <w:color w:val="000000" w:themeColor="text1"/>
          <w:szCs w:val="22"/>
        </w:rPr>
      </w:pPr>
    </w:p>
    <w:p w14:paraId="1DD0773F"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This matter comes before the Court on Plaintiff's Motion for a Temporary Restraining Order (“TRO”) (</w:t>
      </w:r>
      <w:proofErr w:type="spellStart"/>
      <w:r w:rsidRPr="00EF577A">
        <w:rPr>
          <w:color w:val="000000" w:themeColor="text1"/>
          <w:szCs w:val="22"/>
        </w:rPr>
        <w:t>Dkt</w:t>
      </w:r>
      <w:proofErr w:type="spellEnd"/>
      <w:r w:rsidRPr="00EF577A">
        <w:rPr>
          <w:color w:val="000000" w:themeColor="text1"/>
          <w:szCs w:val="22"/>
        </w:rPr>
        <w:t>. No. 6), Defendant's Opposition thereto (</w:t>
      </w:r>
      <w:proofErr w:type="spellStart"/>
      <w:r w:rsidRPr="00EF577A">
        <w:rPr>
          <w:color w:val="000000" w:themeColor="text1"/>
          <w:szCs w:val="22"/>
        </w:rPr>
        <w:t>Dkt</w:t>
      </w:r>
      <w:proofErr w:type="spellEnd"/>
      <w:r w:rsidRPr="00EF577A">
        <w:rPr>
          <w:color w:val="000000" w:themeColor="text1"/>
          <w:szCs w:val="22"/>
        </w:rPr>
        <w:t>. No. 19), and Plaintiff's Reply (</w:t>
      </w:r>
      <w:proofErr w:type="spellStart"/>
      <w:r w:rsidRPr="00EF577A">
        <w:rPr>
          <w:color w:val="000000" w:themeColor="text1"/>
          <w:szCs w:val="22"/>
        </w:rPr>
        <w:t>Dkt</w:t>
      </w:r>
      <w:proofErr w:type="spellEnd"/>
      <w:r w:rsidRPr="00EF577A">
        <w:rPr>
          <w:color w:val="000000" w:themeColor="text1"/>
          <w:szCs w:val="22"/>
        </w:rPr>
        <w:t>. No. 24).</w:t>
      </w:r>
    </w:p>
    <w:p w14:paraId="617B7EAE" w14:textId="77777777" w:rsidR="00723553" w:rsidRPr="00EF577A" w:rsidRDefault="00723553" w:rsidP="00723553">
      <w:pPr>
        <w:spacing w:before="400" w:line="275" w:lineRule="atLeast"/>
        <w:rPr>
          <w:color w:val="000000" w:themeColor="text1"/>
          <w:szCs w:val="22"/>
        </w:rPr>
      </w:pPr>
      <w:bookmarkStart w:id="170" w:name="co_anchor_I603fdead907d11ea80afece792"/>
      <w:bookmarkStart w:id="171" w:name="co_anchor_I603fdead907d11ea80afece79915"/>
      <w:r w:rsidRPr="00EF577A">
        <w:rPr>
          <w:b/>
          <w:color w:val="000000" w:themeColor="text1"/>
          <w:szCs w:val="22"/>
        </w:rPr>
        <w:t>II. BACKGROUND AND FACTS</w:t>
      </w:r>
    </w:p>
    <w:bookmarkEnd w:id="170"/>
    <w:bookmarkEnd w:id="171"/>
    <w:p w14:paraId="59B7CE66" w14:textId="77777777" w:rsidR="00723553" w:rsidRPr="00EF577A" w:rsidRDefault="00723553" w:rsidP="00723553">
      <w:pPr>
        <w:spacing w:line="275" w:lineRule="atLeast"/>
        <w:jc w:val="both"/>
        <w:rPr>
          <w:color w:val="000000" w:themeColor="text1"/>
          <w:szCs w:val="22"/>
        </w:rPr>
      </w:pPr>
    </w:p>
    <w:p w14:paraId="7B75FC30"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The facts are largely undisputed. Plaintiff Zango is an Internet company that “provides consumers free access to a large catalog of online videos, games, music, tools and utilities” sponsored by advertisements. (Pl.'s Mot 3.) Plaintiff Zango also offers a “premium version” of its software that provides the same content without advertisements for a fee.</w:t>
      </w:r>
    </w:p>
    <w:p w14:paraId="7858B52B"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7E2B3D03"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Defendant PC Tools offers software called “Spyware Doctor,” which detects and, in some cases deletes, potentially harmful software (“malware”) on its users' computers. Defendant's anti-malware software classifies potentially dangerous or annoying software into </w:t>
      </w:r>
      <w:r w:rsidRPr="00EF577A">
        <w:rPr>
          <w:color w:val="000000" w:themeColor="text1"/>
          <w:szCs w:val="22"/>
        </w:rPr>
        <w:lastRenderedPageBreak/>
        <w:t>various categories. From least risk to greatest, those classifications are: “Potentially Unwanted Applications” (“PUAs”), “low,” “medium,” “elevated,” and “high.” (Risk Levels (</w:t>
      </w:r>
      <w:proofErr w:type="spellStart"/>
      <w:r w:rsidRPr="00EF577A">
        <w:rPr>
          <w:color w:val="000000" w:themeColor="text1"/>
          <w:szCs w:val="22"/>
        </w:rPr>
        <w:t>Dkt</w:t>
      </w:r>
      <w:proofErr w:type="spellEnd"/>
      <w:r w:rsidRPr="00EF577A">
        <w:rPr>
          <w:color w:val="000000" w:themeColor="text1"/>
          <w:szCs w:val="22"/>
        </w:rPr>
        <w:t>. 22–2).)</w:t>
      </w:r>
    </w:p>
    <w:p w14:paraId="5BD088CF"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6A1D5C9E"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From 2004 to May 2007, Defendant classified all of Plaintiff's software as malicious with “high” or “elevated” risk. (</w:t>
      </w:r>
      <w:proofErr w:type="spellStart"/>
      <w:r w:rsidRPr="00EF577A">
        <w:rPr>
          <w:color w:val="000000" w:themeColor="text1"/>
          <w:szCs w:val="22"/>
        </w:rPr>
        <w:t>Def.'s</w:t>
      </w:r>
      <w:proofErr w:type="spellEnd"/>
      <w:r w:rsidRPr="00EF577A">
        <w:rPr>
          <w:color w:val="000000" w:themeColor="text1"/>
          <w:szCs w:val="22"/>
        </w:rPr>
        <w:t xml:space="preserve"> </w:t>
      </w:r>
      <w:proofErr w:type="spellStart"/>
      <w:r w:rsidRPr="00EF577A">
        <w:rPr>
          <w:color w:val="000000" w:themeColor="text1"/>
          <w:szCs w:val="22"/>
        </w:rPr>
        <w:t>Opp'n</w:t>
      </w:r>
      <w:proofErr w:type="spellEnd"/>
      <w:r w:rsidRPr="00EF577A">
        <w:rPr>
          <w:color w:val="000000" w:themeColor="text1"/>
          <w:szCs w:val="22"/>
        </w:rPr>
        <w:t xml:space="preserve"> 5.) Plaintiff and Defendant had been engaged in ongoing discussions during that time regarding possible reclassification. (</w:t>
      </w:r>
      <w:r w:rsidRPr="00EF577A">
        <w:rPr>
          <w:i/>
          <w:color w:val="000000" w:themeColor="text1"/>
          <w:szCs w:val="22"/>
        </w:rPr>
        <w:t>Id.</w:t>
      </w:r>
      <w:r w:rsidRPr="00EF577A">
        <w:rPr>
          <w:color w:val="000000" w:themeColor="text1"/>
          <w:szCs w:val="22"/>
        </w:rPr>
        <w:t>)</w:t>
      </w:r>
    </w:p>
    <w:p w14:paraId="0376F710"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05F0D63E"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On March 29, 2007, one version of Defendant's Spyware Doctor software known as Starter Edition was added to Google Pack, which aggregates a number of software applications and offers them for free over the popular Google website. (Pl.'s Mot 4.) Google Pack is widely distributed, and Plaintiff alleges that millions of users have downloaded and installed Defendant's software from Google. (</w:t>
      </w:r>
      <w:r w:rsidRPr="00EF577A">
        <w:rPr>
          <w:i/>
          <w:color w:val="000000" w:themeColor="text1"/>
          <w:szCs w:val="22"/>
        </w:rPr>
        <w:t>Id.</w:t>
      </w:r>
      <w:r w:rsidRPr="00EF577A">
        <w:rPr>
          <w:color w:val="000000" w:themeColor="text1"/>
          <w:szCs w:val="22"/>
        </w:rPr>
        <w:t>) Plaintiff Zango alleges that Starter Edition of Spyware Doctor interferes with its software in the following ways:</w:t>
      </w:r>
    </w:p>
    <w:p w14:paraId="0357A932" w14:textId="77777777" w:rsidR="00723553" w:rsidRPr="00EF577A" w:rsidRDefault="00723553" w:rsidP="00723553">
      <w:pPr>
        <w:spacing w:before="200" w:line="275" w:lineRule="atLeast"/>
        <w:ind w:left="480" w:right="480"/>
        <w:jc w:val="both"/>
        <w:rPr>
          <w:color w:val="000000" w:themeColor="text1"/>
          <w:szCs w:val="22"/>
        </w:rPr>
      </w:pPr>
      <w:r w:rsidRPr="00EF577A">
        <w:rPr>
          <w:color w:val="000000" w:themeColor="text1"/>
          <w:szCs w:val="22"/>
        </w:rPr>
        <w:t>... Starter Edition is disabling Zango installations to the point that existing, consensually installed Zango software already resident on a consumer's computer no longer functions. Further testing revealed that while the Starter Edition software prevents the display of advertisements from Zango on behalf of Zango's advertising partners (which is the primary source of Zango revenue), some existing Zango customers nonetheless are still able to access the content in Zango's catalog (i.e., the movies, games, screensavers, and the like). Starter Edition software damages the Zango application immediately upon installation, without giving any specific notice whatsoever to Zango customers or providing any opportunity for Zango customers to consent or intervene.</w:t>
      </w:r>
    </w:p>
    <w:p w14:paraId="55029E22" w14:textId="77777777" w:rsidR="00723553" w:rsidRPr="00EF577A" w:rsidRDefault="00723553" w:rsidP="00723553">
      <w:pPr>
        <w:spacing w:before="200" w:line="275" w:lineRule="atLeast"/>
        <w:jc w:val="both"/>
        <w:rPr>
          <w:color w:val="000000" w:themeColor="text1"/>
          <w:szCs w:val="22"/>
        </w:rPr>
      </w:pPr>
      <w:r w:rsidRPr="00EF577A">
        <w:rPr>
          <w:color w:val="000000" w:themeColor="text1"/>
          <w:szCs w:val="22"/>
        </w:rPr>
        <w:t>(</w:t>
      </w:r>
      <w:r w:rsidRPr="00EF577A">
        <w:rPr>
          <w:i/>
          <w:color w:val="000000" w:themeColor="text1"/>
          <w:szCs w:val="22"/>
        </w:rPr>
        <w:t>Id.</w:t>
      </w:r>
      <w:r w:rsidRPr="00EF577A">
        <w:rPr>
          <w:color w:val="000000" w:themeColor="text1"/>
          <w:szCs w:val="22"/>
        </w:rPr>
        <w:t>)</w:t>
      </w:r>
    </w:p>
    <w:p w14:paraId="60795651"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29F144B5"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On approximately May 14, 2007 and prior to the filing of this lawsuit, Defendant reclassified three of Plaintiff's software programs (</w:t>
      </w:r>
      <w:proofErr w:type="spellStart"/>
      <w:r w:rsidRPr="00EF577A">
        <w:rPr>
          <w:color w:val="000000" w:themeColor="text1"/>
          <w:szCs w:val="22"/>
        </w:rPr>
        <w:t>Seekmo</w:t>
      </w:r>
      <w:proofErr w:type="spellEnd"/>
      <w:r w:rsidRPr="00EF577A">
        <w:rPr>
          <w:color w:val="000000" w:themeColor="text1"/>
          <w:szCs w:val="22"/>
        </w:rPr>
        <w:t xml:space="preserve"> Search Assistant, Zango Search Assistant, and </w:t>
      </w:r>
      <w:proofErr w:type="spellStart"/>
      <w:r w:rsidRPr="00EF577A">
        <w:rPr>
          <w:color w:val="000000" w:themeColor="text1"/>
          <w:szCs w:val="22"/>
        </w:rPr>
        <w:t>Hotbar</w:t>
      </w:r>
      <w:proofErr w:type="spellEnd"/>
      <w:r w:rsidRPr="00EF577A">
        <w:rPr>
          <w:color w:val="000000" w:themeColor="text1"/>
          <w:szCs w:val="22"/>
        </w:rPr>
        <w:t>) as “PUAs”—Spyware Doctor's lowest possible classification for potential malware. (</w:t>
      </w:r>
      <w:proofErr w:type="spellStart"/>
      <w:r w:rsidRPr="00EF577A">
        <w:rPr>
          <w:color w:val="000000" w:themeColor="text1"/>
          <w:szCs w:val="22"/>
        </w:rPr>
        <w:t>Def.'s</w:t>
      </w:r>
      <w:proofErr w:type="spellEnd"/>
      <w:r w:rsidRPr="00EF577A">
        <w:rPr>
          <w:color w:val="000000" w:themeColor="text1"/>
          <w:szCs w:val="22"/>
        </w:rPr>
        <w:t xml:space="preserve"> </w:t>
      </w:r>
      <w:proofErr w:type="spellStart"/>
      <w:r w:rsidRPr="00EF577A">
        <w:rPr>
          <w:color w:val="000000" w:themeColor="text1"/>
          <w:szCs w:val="22"/>
        </w:rPr>
        <w:t>Opp'n</w:t>
      </w:r>
      <w:proofErr w:type="spellEnd"/>
      <w:r w:rsidRPr="00EF577A">
        <w:rPr>
          <w:color w:val="000000" w:themeColor="text1"/>
          <w:szCs w:val="22"/>
        </w:rPr>
        <w:t xml:space="preserve"> 7.) Around that time, Defendant changed the latest version of its software such that “PUAs” would no longer automatically be removed by its automatic scanning function. (</w:t>
      </w:r>
      <w:r w:rsidRPr="00EF577A">
        <w:rPr>
          <w:i/>
          <w:color w:val="000000" w:themeColor="text1"/>
          <w:szCs w:val="22"/>
        </w:rPr>
        <w:t>Id.</w:t>
      </w:r>
      <w:r w:rsidRPr="00EF577A">
        <w:rPr>
          <w:color w:val="000000" w:themeColor="text1"/>
          <w:szCs w:val="22"/>
        </w:rPr>
        <w:t>) After this change, these three programs were no longer automatically detected and removed by Defendant's software, though they may still be identified and removed manually. (</w:t>
      </w:r>
      <w:proofErr w:type="spellStart"/>
      <w:r w:rsidRPr="00EF577A">
        <w:rPr>
          <w:color w:val="000000" w:themeColor="text1"/>
          <w:szCs w:val="22"/>
        </w:rPr>
        <w:t>Def.'s</w:t>
      </w:r>
      <w:proofErr w:type="spellEnd"/>
      <w:r w:rsidRPr="00EF577A">
        <w:rPr>
          <w:color w:val="000000" w:themeColor="text1"/>
          <w:szCs w:val="22"/>
        </w:rPr>
        <w:t xml:space="preserve"> </w:t>
      </w:r>
      <w:proofErr w:type="spellStart"/>
      <w:r w:rsidRPr="00EF577A">
        <w:rPr>
          <w:color w:val="000000" w:themeColor="text1"/>
          <w:szCs w:val="22"/>
        </w:rPr>
        <w:t>Opp'n</w:t>
      </w:r>
      <w:proofErr w:type="spellEnd"/>
      <w:r w:rsidRPr="00EF577A">
        <w:rPr>
          <w:color w:val="000000" w:themeColor="text1"/>
          <w:szCs w:val="22"/>
        </w:rPr>
        <w:t xml:space="preserve"> 19.) Plaintiff contends that this change did not provide it with all of the relief it seeks because: (1) prior versions of the software without the new changes are “still available across the internet, even if not from Google,” (2) Plaintiff has recently purchased software called “</w:t>
      </w:r>
      <w:proofErr w:type="spellStart"/>
      <w:r w:rsidRPr="00EF577A">
        <w:rPr>
          <w:color w:val="000000" w:themeColor="text1"/>
          <w:szCs w:val="22"/>
        </w:rPr>
        <w:t>Cyberhawk</w:t>
      </w:r>
      <w:proofErr w:type="spellEnd"/>
      <w:r w:rsidRPr="00EF577A">
        <w:rPr>
          <w:color w:val="000000" w:themeColor="text1"/>
          <w:szCs w:val="22"/>
        </w:rPr>
        <w:t>” from another company that Spyware Doctor also blocks, (3) the new version of Spyware Doctor prevents an upgrade to the “premium version” of Plaintiff's software, and (4) the mere identification of Plaintiff's software harms its reputation. (Pl.'s Reply 5–6.)</w:t>
      </w:r>
    </w:p>
    <w:p w14:paraId="27E5A115"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2F61677D"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While Plaintiff does not dispute that its previous business practices may have been harmful, it argues that it has substantially revamped its software in the past eighteen months, in part due to a settlement with, and oversight by, the Federal Trade Commission (“FTC”). (Pl.'s Reply 2–3) Plaintiff recently settled a formal complaint with the FTC in which it agreed </w:t>
      </w:r>
      <w:r w:rsidRPr="00EF577A">
        <w:rPr>
          <w:color w:val="000000" w:themeColor="text1"/>
          <w:szCs w:val="22"/>
        </w:rPr>
        <w:lastRenderedPageBreak/>
        <w:t>to pay a $3 million fine. The FTC press release described Plaintiff's alleged previous practices and the current settlement as follows:</w:t>
      </w:r>
    </w:p>
    <w:p w14:paraId="46CBFD7A" w14:textId="77777777" w:rsidR="00723553" w:rsidRPr="00EF577A" w:rsidRDefault="00723553" w:rsidP="00723553">
      <w:pPr>
        <w:spacing w:before="200" w:line="275" w:lineRule="atLeast"/>
        <w:ind w:left="200"/>
        <w:jc w:val="both"/>
        <w:rPr>
          <w:color w:val="000000" w:themeColor="text1"/>
          <w:szCs w:val="22"/>
        </w:rPr>
      </w:pPr>
      <w:r w:rsidRPr="00EF577A">
        <w:rPr>
          <w:color w:val="000000" w:themeColor="text1"/>
          <w:szCs w:val="22"/>
        </w:rPr>
        <w:t xml:space="preserve">... Zango often used third parties to install adware on consumers' computers. The adware, including programs named Zango Search Assistant, 180Search Assistant, </w:t>
      </w:r>
      <w:proofErr w:type="spellStart"/>
      <w:r w:rsidRPr="00EF577A">
        <w:rPr>
          <w:color w:val="000000" w:themeColor="text1"/>
          <w:szCs w:val="22"/>
        </w:rPr>
        <w:t>Seekmo</w:t>
      </w:r>
      <w:proofErr w:type="spellEnd"/>
      <w:r w:rsidRPr="00EF577A">
        <w:rPr>
          <w:color w:val="000000" w:themeColor="text1"/>
          <w:szCs w:val="22"/>
        </w:rPr>
        <w:t>, and n-CASE, monitors consumers' Internet use in order to display targeted pop-up ads. It has been installed on U.S. consumers' computers more than 70 million times and has displayed more than 6.9 billion pop-up ads. The FTC alleges that Zango's distributors—third-party affiliates who often contracted with numerous sub-affiliates—frequently offered consumers free content and software, such as screensavers, peer-to-peer file sharing software, games, and utilities, without disclosing that downloading them would result in installation of the adware. In other instances, Zango's third-party distributors exploited security vulnerabilities in Web browsers to install the adware via “drive-by” downloads. As a result, millions of consumers received pop-up ads without knowing why, and had their Internet use monitored without their knowledge.</w:t>
      </w:r>
    </w:p>
    <w:p w14:paraId="1AC80DB6" w14:textId="77777777" w:rsidR="00723553" w:rsidRPr="00EF577A" w:rsidRDefault="00723553" w:rsidP="00723553">
      <w:pPr>
        <w:spacing w:before="200" w:line="275" w:lineRule="atLeast"/>
        <w:ind w:left="200"/>
        <w:jc w:val="both"/>
        <w:rPr>
          <w:color w:val="000000" w:themeColor="text1"/>
          <w:szCs w:val="22"/>
        </w:rPr>
      </w:pPr>
      <w:r w:rsidRPr="00EF577A">
        <w:rPr>
          <w:color w:val="000000" w:themeColor="text1"/>
          <w:szCs w:val="22"/>
        </w:rPr>
        <w:t>In addition, the agency alleges that Zango deliberately made it difficult to identify, locate, and remove the adware once it was installed. For example, Zango failed to label its pop-up ads to identify their origin, named its adware files with names resembling those of core systems software, provided uninstall tools that failed to uninstall the adware, gave confusing labels to those uninstall tools, and installed code on consumers' computers that would enable the adware to be reinstalled secretly when consumers attempted to remove it.</w:t>
      </w:r>
    </w:p>
    <w:p w14:paraId="07C2B12C" w14:textId="77777777" w:rsidR="00723553" w:rsidRPr="00EF577A" w:rsidRDefault="00723553" w:rsidP="00723553">
      <w:pPr>
        <w:spacing w:before="200" w:line="275" w:lineRule="atLeast"/>
        <w:ind w:left="200"/>
        <w:jc w:val="both"/>
        <w:rPr>
          <w:color w:val="000000" w:themeColor="text1"/>
          <w:szCs w:val="22"/>
        </w:rPr>
      </w:pPr>
      <w:r w:rsidRPr="00EF577A">
        <w:rPr>
          <w:color w:val="000000" w:themeColor="text1"/>
          <w:szCs w:val="22"/>
        </w:rPr>
        <w:t>....</w:t>
      </w:r>
    </w:p>
    <w:p w14:paraId="5313A559" w14:textId="77777777" w:rsidR="00723553" w:rsidRPr="00EF577A" w:rsidRDefault="00723553" w:rsidP="00723553">
      <w:pPr>
        <w:spacing w:before="200" w:line="275" w:lineRule="atLeast"/>
        <w:ind w:left="200"/>
        <w:jc w:val="both"/>
        <w:rPr>
          <w:color w:val="000000" w:themeColor="text1"/>
          <w:szCs w:val="22"/>
        </w:rPr>
      </w:pPr>
      <w:r w:rsidRPr="00EF577A">
        <w:rPr>
          <w:color w:val="000000" w:themeColor="text1"/>
          <w:szCs w:val="22"/>
        </w:rPr>
        <w:t xml:space="preserve">The settlement bars Zango from using its adware to communicate with consumers' computers—either by monitoring consumers' Web surfing activities or delivering pop-up ads—without verifying </w:t>
      </w:r>
      <w:proofErr w:type="gramStart"/>
      <w:r w:rsidRPr="00EF577A">
        <w:rPr>
          <w:color w:val="000000" w:themeColor="text1"/>
          <w:szCs w:val="22"/>
        </w:rPr>
        <w:t>that consumers</w:t>
      </w:r>
      <w:proofErr w:type="gramEnd"/>
      <w:r w:rsidRPr="00EF577A">
        <w:rPr>
          <w:color w:val="000000" w:themeColor="text1"/>
          <w:szCs w:val="22"/>
        </w:rPr>
        <w:t xml:space="preserve"> consented to installation of the adware. It bars Zango, directly or through others, from exploiting security vulnerabilities to download software, and requires that it give clear and prominent disclosures and obtain consumers' express consent before downloading software onto consumers' computers. It requires that Zango identify its ads and establish, implement, and maintain user-friendly mechanisms consumers can use to complain, stop its pop-ups, and uninstall its adware. It also requires that Zango monitor its third-party distributors to assure that its affiliates and their sub-affiliates comply with the FTC order. Finally, Zango will give up $3 million in ill-gotten gains to settle the charges. The settlement contains standard record keeping provisions to allow the FTC to monitor compliance.</w:t>
      </w:r>
    </w:p>
    <w:p w14:paraId="33BB224C" w14:textId="77777777" w:rsidR="00723553" w:rsidRPr="00EF577A" w:rsidRDefault="00723553" w:rsidP="00723553">
      <w:pPr>
        <w:spacing w:before="200" w:line="275" w:lineRule="atLeast"/>
        <w:jc w:val="both"/>
        <w:rPr>
          <w:color w:val="000000" w:themeColor="text1"/>
          <w:szCs w:val="22"/>
        </w:rPr>
      </w:pPr>
      <w:r w:rsidRPr="00EF577A">
        <w:rPr>
          <w:color w:val="000000" w:themeColor="text1"/>
          <w:szCs w:val="22"/>
        </w:rPr>
        <w:t xml:space="preserve">FTC Press Release: Zango, Inc. Settles FTC Charges: Will Give Up $3 Million in Ill–Gotten Gains for Unfair and Deceptive Adware Downloads, November 3, 2006, </w:t>
      </w:r>
      <w:r w:rsidRPr="00EF577A">
        <w:rPr>
          <w:i/>
          <w:color w:val="000000" w:themeColor="text1"/>
          <w:szCs w:val="22"/>
        </w:rPr>
        <w:t>available at</w:t>
      </w:r>
      <w:r w:rsidRPr="00EF577A">
        <w:rPr>
          <w:color w:val="000000" w:themeColor="text1"/>
          <w:szCs w:val="22"/>
        </w:rPr>
        <w:t xml:space="preserve"> http://www.ftc.gov/opa/2006/11/zango. </w:t>
      </w:r>
      <w:proofErr w:type="spellStart"/>
      <w:r w:rsidRPr="00EF577A">
        <w:rPr>
          <w:color w:val="000000" w:themeColor="text1"/>
          <w:szCs w:val="22"/>
        </w:rPr>
        <w:t>shtm</w:t>
      </w:r>
      <w:proofErr w:type="spellEnd"/>
      <w:r w:rsidRPr="00EF577A">
        <w:rPr>
          <w:color w:val="000000" w:themeColor="text1"/>
          <w:szCs w:val="22"/>
        </w:rPr>
        <w:t xml:space="preserve"> (last visited June 4, 2007).</w:t>
      </w:r>
    </w:p>
    <w:p w14:paraId="2D1F84B8"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2D3348C8"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Plaintiff currently seeks “a temporary restraining order, and, ultimately, a preliminary injunction, compelling PC Tools to immediately remove Zango's software programs from the Spyware Doctor detection database.” (Pl.'s Mot. 3.)</w:t>
      </w:r>
    </w:p>
    <w:p w14:paraId="237BF481" w14:textId="77777777" w:rsidR="00723553" w:rsidRPr="00EF577A" w:rsidRDefault="00723553" w:rsidP="00723553">
      <w:pPr>
        <w:spacing w:before="400" w:line="275" w:lineRule="atLeast"/>
        <w:rPr>
          <w:color w:val="000000" w:themeColor="text1"/>
          <w:szCs w:val="22"/>
        </w:rPr>
      </w:pPr>
      <w:bookmarkStart w:id="172" w:name="co_anchor_I603fdeae907d11ea80afece792"/>
      <w:bookmarkStart w:id="173" w:name="co_anchor_I603fdeae907d11ea80afece79915"/>
      <w:r w:rsidRPr="00EF577A">
        <w:rPr>
          <w:b/>
          <w:color w:val="000000" w:themeColor="text1"/>
          <w:szCs w:val="22"/>
        </w:rPr>
        <w:lastRenderedPageBreak/>
        <w:t>III. ANALYSIS</w:t>
      </w:r>
    </w:p>
    <w:p w14:paraId="655FB627" w14:textId="77777777" w:rsidR="00723553" w:rsidRPr="00EF577A" w:rsidRDefault="00723553" w:rsidP="00723553">
      <w:pPr>
        <w:spacing w:line="275" w:lineRule="atLeast"/>
        <w:jc w:val="both"/>
        <w:rPr>
          <w:color w:val="000000" w:themeColor="text1"/>
          <w:szCs w:val="22"/>
        </w:rPr>
      </w:pPr>
      <w:bookmarkStart w:id="174" w:name="co_anchor_B12012504351_1"/>
      <w:bookmarkStart w:id="175" w:name="co_anchor_B22012504351_1"/>
      <w:bookmarkStart w:id="176" w:name="co_anchor_B32012504351_1"/>
      <w:bookmarkStart w:id="177" w:name="co_anchor_B42012504351_1"/>
      <w:bookmarkEnd w:id="172"/>
      <w:bookmarkEnd w:id="173"/>
      <w:bookmarkEnd w:id="174"/>
      <w:bookmarkEnd w:id="175"/>
      <w:bookmarkEnd w:id="176"/>
      <w:bookmarkEnd w:id="177"/>
    </w:p>
    <w:p w14:paraId="23DBE656"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The standard to obtain a temporary restraining order is the same as that to obtain a preliminary injunction. </w:t>
      </w:r>
      <w:r w:rsidRPr="00EF577A">
        <w:rPr>
          <w:i/>
          <w:color w:val="000000" w:themeColor="text1"/>
          <w:szCs w:val="22"/>
        </w:rPr>
        <w:t>See Graham v. Teledyne–Continental Motors, Div. of Teledyne Indus., Inc.,</w:t>
      </w:r>
      <w:r w:rsidRPr="00EF577A">
        <w:rPr>
          <w:color w:val="000000" w:themeColor="text1"/>
          <w:szCs w:val="22"/>
        </w:rPr>
        <w:t xml:space="preserve"> 805 F.2d 1386, 1388 (9th Cir.1986). To obtain either form of relief, a plaintiff must satisfy either the “traditional” or “alternative” test. Under the traditional test, the Court must find that: (1) the moving party will suffer irreparable injury if the relief is denied, (2) the moving party will probably prevail on the merits, (3) the balance of potential harm favors the moving party, and (4) the public interest favors granting relief. </w:t>
      </w:r>
      <w:r w:rsidRPr="00EF577A">
        <w:rPr>
          <w:i/>
          <w:color w:val="000000" w:themeColor="text1"/>
          <w:szCs w:val="22"/>
        </w:rPr>
        <w:t>Cassim v. Bowen,</w:t>
      </w:r>
      <w:r w:rsidRPr="00EF577A">
        <w:rPr>
          <w:color w:val="000000" w:themeColor="text1"/>
          <w:szCs w:val="22"/>
        </w:rPr>
        <w:t xml:space="preserve"> 824 F.2d 791, 795 (9th Cir.1987). The alternative test requires the Court to find: (1) a combination of probable success and the possibility of irreparable injury; or (2) that serious questions are raised and the balance of hardships tips sharply in its favor. </w:t>
      </w:r>
      <w:r w:rsidRPr="00EF577A">
        <w:rPr>
          <w:i/>
          <w:color w:val="000000" w:themeColor="text1"/>
          <w:szCs w:val="22"/>
        </w:rPr>
        <w:t>Id.</w:t>
      </w:r>
      <w:r w:rsidRPr="00EF577A">
        <w:rPr>
          <w:color w:val="000000" w:themeColor="text1"/>
          <w:szCs w:val="22"/>
        </w:rPr>
        <w:t xml:space="preserve"> Under this last part of the alternative test, “even if the balance of hardships tips decidedly in favor of the moving party, it must be shown as an irreducible minimum that there is a fair chance of success on the merits.” </w:t>
      </w:r>
      <w:r w:rsidRPr="00EF577A">
        <w:rPr>
          <w:i/>
          <w:color w:val="000000" w:themeColor="text1"/>
          <w:szCs w:val="22"/>
        </w:rPr>
        <w:t>Johnson v. Cal. St. Bd. of Accountancy,</w:t>
      </w:r>
      <w:r w:rsidRPr="00EF577A">
        <w:rPr>
          <w:color w:val="000000" w:themeColor="text1"/>
          <w:szCs w:val="22"/>
        </w:rPr>
        <w:t xml:space="preserve"> 72 F.3d 1427, 1430 (9th Cir.1995). The two prongs of the alternative test are not separate inquiries, but rather “extremes of a single continuum.” </w:t>
      </w:r>
      <w:r w:rsidRPr="00EF577A">
        <w:rPr>
          <w:i/>
          <w:color w:val="000000" w:themeColor="text1"/>
          <w:szCs w:val="22"/>
        </w:rPr>
        <w:t>Clear Channel Outdoor, Inc. v. City of Los Angeles,</w:t>
      </w:r>
      <w:r w:rsidRPr="00EF577A">
        <w:rPr>
          <w:color w:val="000000" w:themeColor="text1"/>
          <w:szCs w:val="22"/>
        </w:rPr>
        <w:t xml:space="preserve"> 340 F.3d 810, 813 (9th Cir.2003). “[T]he less certain the district court is of the likelihood of success on the merits, the more plaintiffs must convince the district court that the public interest and balance of hardships tip in their favor.” </w:t>
      </w:r>
      <w:r w:rsidRPr="00EF577A">
        <w:rPr>
          <w:i/>
          <w:color w:val="000000" w:themeColor="text1"/>
          <w:szCs w:val="22"/>
        </w:rPr>
        <w:t>Southwest Voter Registration Educ. Project v. Shelley,</w:t>
      </w:r>
      <w:r w:rsidRPr="00EF577A">
        <w:rPr>
          <w:color w:val="000000" w:themeColor="text1"/>
          <w:szCs w:val="22"/>
        </w:rPr>
        <w:t xml:space="preserve"> 344 F.3d 914, 918 (9th Cir.2003).</w:t>
      </w:r>
    </w:p>
    <w:p w14:paraId="462047DC"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5F719BDC" w14:textId="77777777" w:rsidR="00723553" w:rsidRPr="00EF577A" w:rsidRDefault="00723553" w:rsidP="00723553">
      <w:pPr>
        <w:spacing w:line="275" w:lineRule="atLeast"/>
        <w:jc w:val="both"/>
        <w:rPr>
          <w:b/>
          <w:bCs/>
          <w:color w:val="000000" w:themeColor="text1"/>
          <w:szCs w:val="22"/>
        </w:rPr>
      </w:pPr>
      <w:r w:rsidRPr="00EF577A">
        <w:rPr>
          <w:b/>
          <w:bCs/>
          <w:color w:val="000000" w:themeColor="text1"/>
          <w:szCs w:val="22"/>
        </w:rPr>
        <w:t xml:space="preserve">*** </w:t>
      </w:r>
    </w:p>
    <w:p w14:paraId="24753811" w14:textId="77777777" w:rsidR="00723553" w:rsidRPr="00EF577A" w:rsidRDefault="00723553" w:rsidP="00723553">
      <w:pPr>
        <w:pBdr>
          <w:left w:val="none" w:sz="0" w:space="10" w:color="auto"/>
        </w:pBdr>
        <w:spacing w:before="400" w:line="275" w:lineRule="atLeast"/>
        <w:ind w:left="200"/>
        <w:rPr>
          <w:color w:val="000000" w:themeColor="text1"/>
          <w:szCs w:val="22"/>
        </w:rPr>
      </w:pPr>
      <w:bookmarkStart w:id="178" w:name="co_anchor_I603fdeb0907d11ea80afece792"/>
      <w:bookmarkStart w:id="179" w:name="co_anchor_I603fdeb0907d11ea80afece79915"/>
      <w:r w:rsidRPr="00EF577A">
        <w:rPr>
          <w:b/>
          <w:color w:val="000000" w:themeColor="text1"/>
          <w:szCs w:val="22"/>
        </w:rPr>
        <w:t>B. Irreparable Harm</w:t>
      </w:r>
    </w:p>
    <w:p w14:paraId="3FF4A24B" w14:textId="77777777" w:rsidR="00723553" w:rsidRPr="00EF577A" w:rsidRDefault="00723553" w:rsidP="00723553">
      <w:pPr>
        <w:spacing w:line="275" w:lineRule="atLeast"/>
        <w:jc w:val="both"/>
        <w:rPr>
          <w:color w:val="000000" w:themeColor="text1"/>
          <w:szCs w:val="22"/>
        </w:rPr>
      </w:pPr>
      <w:bookmarkStart w:id="180" w:name="co_anchor_B72012504351_1"/>
      <w:bookmarkEnd w:id="178"/>
      <w:bookmarkEnd w:id="179"/>
      <w:bookmarkEnd w:id="180"/>
    </w:p>
    <w:p w14:paraId="2702E0FA"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The Court finds that Plaintiff has demonstrated some degree of irreparable harm. Spyware Doctor's categorization of Plaintiff's software as potential malware threatens Plaintiff's reputation. Further, the software blocks, and in some cases removes, copies of Plaintiff's software. (</w:t>
      </w:r>
      <w:proofErr w:type="spellStart"/>
      <w:proofErr w:type="gramStart"/>
      <w:r w:rsidRPr="00EF577A">
        <w:rPr>
          <w:color w:val="000000" w:themeColor="text1"/>
          <w:szCs w:val="22"/>
        </w:rPr>
        <w:t>Pl.s</w:t>
      </w:r>
      <w:proofErr w:type="spellEnd"/>
      <w:proofErr w:type="gramEnd"/>
      <w:r w:rsidRPr="00EF577A">
        <w:rPr>
          <w:color w:val="000000" w:themeColor="text1"/>
          <w:szCs w:val="22"/>
        </w:rPr>
        <w:t xml:space="preserve"> Mot. 11–12.)</w:t>
      </w:r>
    </w:p>
    <w:p w14:paraId="347DA678"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536826A7"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The Court finds, however, that the magnitude of the harm is significantly less than suggested by Plaintiff. Defendant has recently reclassified Plaintiff's software as a “PUA” and modified its spyware software to allow for “PUAs” to avoid being detected and removed by Defendant's auto-scan. Though the software apparently blocks an upgrade to the “premium version” of Plaintiff's software, Plaintiff concedes that the bulk of its customers use the free, advertising-sponsored version. (</w:t>
      </w:r>
      <w:r w:rsidRPr="00EF577A">
        <w:rPr>
          <w:i/>
          <w:color w:val="000000" w:themeColor="text1"/>
          <w:szCs w:val="22"/>
        </w:rPr>
        <w:t>Id.</w:t>
      </w:r>
      <w:r w:rsidRPr="00EF577A">
        <w:rPr>
          <w:color w:val="000000" w:themeColor="text1"/>
          <w:szCs w:val="22"/>
        </w:rPr>
        <w:t>)</w:t>
      </w:r>
    </w:p>
    <w:p w14:paraId="5D9FC56F"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55661B53"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Further, some of the irreparable injury Defendant is suffering does not appear to be </w:t>
      </w:r>
      <w:proofErr w:type="spellStart"/>
      <w:r w:rsidRPr="00EF577A">
        <w:rPr>
          <w:color w:val="000000" w:themeColor="text1"/>
          <w:szCs w:val="22"/>
        </w:rPr>
        <w:t>redressible</w:t>
      </w:r>
      <w:proofErr w:type="spellEnd"/>
      <w:r w:rsidRPr="00EF577A">
        <w:rPr>
          <w:color w:val="000000" w:themeColor="text1"/>
          <w:szCs w:val="22"/>
        </w:rPr>
        <w:t xml:space="preserve"> by the relief sought. While it may be true that previous versions of Spyware Doctor generally available on the Internet have not implemented the most-recent changes, Plaintiff only seeks a TRO or preliminary injunction in which Defendant will “eliminate all references to Zango's products ... from all products, definition files, and scanning databases </w:t>
      </w:r>
      <w:r w:rsidRPr="00EF577A">
        <w:rPr>
          <w:i/>
          <w:color w:val="000000" w:themeColor="text1"/>
          <w:szCs w:val="22"/>
        </w:rPr>
        <w:t>sold, marketed, distributed or otherwise made available by PC Tools,</w:t>
      </w:r>
      <w:r w:rsidRPr="00EF577A">
        <w:rPr>
          <w:color w:val="000000" w:themeColor="text1"/>
          <w:szCs w:val="22"/>
        </w:rPr>
        <w:t xml:space="preserve"> and provide all existing PC Tools customers, partners, or others utilizing PC Tools' definition files with an updated set of files consistent with the foregoing.” (Proposed TRO 4 (</w:t>
      </w:r>
      <w:proofErr w:type="spellStart"/>
      <w:r w:rsidRPr="00EF577A">
        <w:rPr>
          <w:color w:val="000000" w:themeColor="text1"/>
          <w:szCs w:val="22"/>
        </w:rPr>
        <w:t>Dkt</w:t>
      </w:r>
      <w:proofErr w:type="spellEnd"/>
      <w:r w:rsidRPr="00EF577A">
        <w:rPr>
          <w:color w:val="000000" w:themeColor="text1"/>
          <w:szCs w:val="22"/>
        </w:rPr>
        <w:t xml:space="preserve">. No. 11) (emphasis added).) In the </w:t>
      </w:r>
      <w:r w:rsidRPr="00EF577A">
        <w:rPr>
          <w:color w:val="000000" w:themeColor="text1"/>
          <w:szCs w:val="22"/>
        </w:rPr>
        <w:lastRenderedPageBreak/>
        <w:t>absence of any evidence to the contrary, the Court is forced to assume for purposes of this time-sensitive motion that Defendant is only distributing the most recent version of its software, that it already has provided an updated version of its newest release to its business partners (as it apparently has done with Google) and, to the extent previous versions of its software are generally available over the Internet, they are not on websites controlled by Defendant. (</w:t>
      </w:r>
      <w:r w:rsidRPr="00EF577A">
        <w:rPr>
          <w:i/>
          <w:color w:val="000000" w:themeColor="text1"/>
          <w:szCs w:val="22"/>
        </w:rPr>
        <w:t>See</w:t>
      </w:r>
      <w:r w:rsidRPr="00EF577A">
        <w:rPr>
          <w:color w:val="000000" w:themeColor="text1"/>
          <w:szCs w:val="22"/>
        </w:rPr>
        <w:t xml:space="preserve"> Pl.'s Mot. 3.) Thus, it is unclear how the proposed modification to the current database could retroactively alter programs generally available on the Internet which it apparently does not distribute. Accordingly, much of this identified harm is not relevant to the instant inquiry because it is not harm that can be rectified by the proposed injunction.</w:t>
      </w:r>
    </w:p>
    <w:p w14:paraId="49331D7D"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48FF122F"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Moreover, though Spyware Doctor also apparently blocks “</w:t>
      </w:r>
      <w:proofErr w:type="spellStart"/>
      <w:r w:rsidRPr="00EF577A">
        <w:rPr>
          <w:color w:val="000000" w:themeColor="text1"/>
          <w:szCs w:val="22"/>
        </w:rPr>
        <w:t>Cyberhawk</w:t>
      </w:r>
      <w:proofErr w:type="spellEnd"/>
      <w:r w:rsidRPr="00EF577A">
        <w:rPr>
          <w:color w:val="000000" w:themeColor="text1"/>
          <w:szCs w:val="22"/>
        </w:rPr>
        <w:t>” applications that Defendant recently purchased from a third party, the exact nature of this software has not been substantially briefed by either party and thus the amount of injury is speculative at this time.</w:t>
      </w:r>
    </w:p>
    <w:p w14:paraId="7C6983BD"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76EFF4B9"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In short, although the Court finds that Plaintiff is suffering some degree of irreparable harm, it is satisfied that the remedial action Defendant already took has significantly minimized the amount of such harm.</w:t>
      </w:r>
    </w:p>
    <w:p w14:paraId="6E8C6234" w14:textId="77777777" w:rsidR="00723553" w:rsidRPr="00EF577A" w:rsidRDefault="00723553" w:rsidP="00723553">
      <w:pPr>
        <w:pBdr>
          <w:left w:val="none" w:sz="0" w:space="10" w:color="auto"/>
        </w:pBdr>
        <w:spacing w:before="400" w:line="275" w:lineRule="atLeast"/>
        <w:ind w:left="200"/>
        <w:rPr>
          <w:color w:val="000000" w:themeColor="text1"/>
          <w:szCs w:val="22"/>
        </w:rPr>
      </w:pPr>
      <w:bookmarkStart w:id="181" w:name="co_anchor_I603fdeb1907d11ea80afece792"/>
      <w:bookmarkStart w:id="182" w:name="co_anchor_I603fdeb1907d11ea80afece79915"/>
      <w:r w:rsidRPr="00EF577A">
        <w:rPr>
          <w:b/>
          <w:color w:val="000000" w:themeColor="text1"/>
          <w:szCs w:val="22"/>
        </w:rPr>
        <w:t>C. Likelihood of Success on the Merits</w:t>
      </w:r>
    </w:p>
    <w:p w14:paraId="1AA04E9E" w14:textId="77777777" w:rsidR="00723553" w:rsidRPr="00EF577A" w:rsidRDefault="00723553" w:rsidP="00723553">
      <w:pPr>
        <w:spacing w:line="275" w:lineRule="atLeast"/>
        <w:jc w:val="both"/>
        <w:rPr>
          <w:color w:val="000000" w:themeColor="text1"/>
          <w:szCs w:val="22"/>
        </w:rPr>
      </w:pPr>
      <w:bookmarkStart w:id="183" w:name="co_anchor_B82012504351_1"/>
      <w:bookmarkEnd w:id="181"/>
      <w:bookmarkEnd w:id="182"/>
      <w:bookmarkEnd w:id="183"/>
    </w:p>
    <w:p w14:paraId="12F4C244"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Plaintiff's complaint alleges (1) tortious interference with contract, (2) a violation of the Washington Consumer Protection Act (“CPA”), and (3) trade libel. (</w:t>
      </w:r>
      <w:proofErr w:type="spellStart"/>
      <w:r w:rsidRPr="00EF577A">
        <w:rPr>
          <w:color w:val="000000" w:themeColor="text1"/>
          <w:szCs w:val="22"/>
        </w:rPr>
        <w:t>Compl</w:t>
      </w:r>
      <w:proofErr w:type="spellEnd"/>
      <w:r w:rsidRPr="00EF577A">
        <w:rPr>
          <w:color w:val="000000" w:themeColor="text1"/>
          <w:szCs w:val="22"/>
        </w:rPr>
        <w:t>. 6–7 (</w:t>
      </w:r>
      <w:proofErr w:type="spellStart"/>
      <w:r w:rsidRPr="00EF577A">
        <w:rPr>
          <w:color w:val="000000" w:themeColor="text1"/>
          <w:szCs w:val="22"/>
        </w:rPr>
        <w:t>Dkt</w:t>
      </w:r>
      <w:proofErr w:type="spellEnd"/>
      <w:r w:rsidRPr="00EF577A">
        <w:rPr>
          <w:color w:val="000000" w:themeColor="text1"/>
          <w:szCs w:val="22"/>
        </w:rPr>
        <w:t>. No 1 at 15–16).) . . . The Court finds that Plaintiff is unlikely to prevail on the merits of any of these three claims.</w:t>
      </w:r>
    </w:p>
    <w:p w14:paraId="52CD6D63"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2DEA6222" w14:textId="77777777" w:rsidR="00723553" w:rsidRPr="00EF577A" w:rsidRDefault="00723553" w:rsidP="00723553">
      <w:pPr>
        <w:spacing w:line="275" w:lineRule="atLeast"/>
        <w:jc w:val="both"/>
        <w:rPr>
          <w:color w:val="000000" w:themeColor="text1"/>
          <w:szCs w:val="22"/>
        </w:rPr>
      </w:pPr>
      <w:bookmarkStart w:id="184" w:name="co_anchor_B92012504351_1"/>
      <w:bookmarkEnd w:id="184"/>
      <w:r w:rsidRPr="00EF577A">
        <w:rPr>
          <w:color w:val="000000" w:themeColor="text1"/>
          <w:szCs w:val="22"/>
        </w:rPr>
        <w:t>“[T]</w:t>
      </w:r>
      <w:proofErr w:type="spellStart"/>
      <w:r w:rsidRPr="00EF577A">
        <w:rPr>
          <w:color w:val="000000" w:themeColor="text1"/>
          <w:szCs w:val="22"/>
        </w:rPr>
        <w:t>ortious</w:t>
      </w:r>
      <w:proofErr w:type="spellEnd"/>
      <w:r w:rsidRPr="00EF577A">
        <w:rPr>
          <w:color w:val="000000" w:themeColor="text1"/>
          <w:szCs w:val="22"/>
        </w:rPr>
        <w:t xml:space="preserve"> interference arises from either the defendant's pursuit of an improper objective of harming the plaintiff or the use of wrongful means that in fact cause injury to plaintiff's contractual or business relationships.” </w:t>
      </w:r>
      <w:r w:rsidRPr="00EF577A">
        <w:rPr>
          <w:i/>
          <w:color w:val="000000" w:themeColor="text1"/>
          <w:szCs w:val="22"/>
        </w:rPr>
        <w:t>Pleas v. City of Seattle,</w:t>
      </w:r>
      <w:r w:rsidRPr="00EF577A">
        <w:rPr>
          <w:color w:val="000000" w:themeColor="text1"/>
          <w:szCs w:val="22"/>
        </w:rPr>
        <w:t xml:space="preserve"> 112 Wash.2d 794, 774 P.2d 1158, 1163 (1989). The Court finds it unlikely that Plaintiff will be able to demonstrate that Defendant's conduct in attempting to protect its customers from what it perceives to be potentially harmful or annoying software stems from an “improper” motive or uses any “wrongful” means. Its classification is not unreasonable given Plaintiff Zango's past conduct and in light of other companies' similar classification of Plaintiff's software.</w:t>
      </w:r>
    </w:p>
    <w:p w14:paraId="13C36CCC" w14:textId="77777777" w:rsidR="00723553" w:rsidRPr="00EF577A" w:rsidRDefault="00723553" w:rsidP="00723553">
      <w:pPr>
        <w:spacing w:line="275" w:lineRule="atLeast"/>
        <w:jc w:val="both"/>
        <w:rPr>
          <w:color w:val="000000" w:themeColor="text1"/>
          <w:szCs w:val="22"/>
        </w:rPr>
      </w:pPr>
    </w:p>
    <w:p w14:paraId="4B319BA9"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To state a claim under the Washington Consumer Protection Act, a plaintiff must prove five elements: (1) unfair or deceptive act or practice, (2) occurring in trade or commerce, (3) public interest impact, (4) injury to plaintiff in his or her business or property, and (5) causation. </w:t>
      </w:r>
      <w:r w:rsidRPr="00EF577A">
        <w:rPr>
          <w:i/>
          <w:color w:val="000000" w:themeColor="text1"/>
          <w:szCs w:val="22"/>
        </w:rPr>
        <w:t>Hangman Ridge Training Stables v. Safeco Title Ins. Co.,</w:t>
      </w:r>
      <w:r w:rsidRPr="00EF577A">
        <w:rPr>
          <w:color w:val="000000" w:themeColor="text1"/>
          <w:szCs w:val="22"/>
        </w:rPr>
        <w:t xml:space="preserve"> 105 Wash.2d 778, 719 P.2d 531 (1986). The Court finds it unlikely that Plaintiff will be able to prove that Defendant's software was unfair or deceptive, given that users knowingly download its software to avoid potential malware. In so doing, users rely on Defendant's expertise in identifying and blocking such software. There is nothing in this case to suggest that this trust has been abused, as is evident by the fact that many similarly situated companies likewise block </w:t>
      </w:r>
      <w:r w:rsidRPr="00EF577A">
        <w:rPr>
          <w:color w:val="000000" w:themeColor="text1"/>
          <w:szCs w:val="22"/>
        </w:rPr>
        <w:lastRenderedPageBreak/>
        <w:t>Zango's software. Further, allowing Defendant to exercise such judgment to avoid the well-documented harm of malware is decidedly in the public interest.</w:t>
      </w:r>
    </w:p>
    <w:p w14:paraId="492D7C29"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7100FB98" w14:textId="77777777" w:rsidR="00723553" w:rsidRPr="00EF577A" w:rsidRDefault="00723553" w:rsidP="00723553">
      <w:pPr>
        <w:spacing w:line="275" w:lineRule="atLeast"/>
        <w:jc w:val="both"/>
        <w:rPr>
          <w:b/>
          <w:bCs/>
          <w:color w:val="000000" w:themeColor="text1"/>
          <w:szCs w:val="22"/>
        </w:rPr>
      </w:pPr>
      <w:bookmarkStart w:id="185" w:name="co_anchor_B102012504351_1"/>
      <w:bookmarkEnd w:id="185"/>
      <w:r w:rsidRPr="00EF577A">
        <w:rPr>
          <w:b/>
          <w:bCs/>
          <w:color w:val="000000" w:themeColor="text1"/>
          <w:szCs w:val="22"/>
        </w:rPr>
        <w:t>*** </w:t>
      </w:r>
    </w:p>
    <w:p w14:paraId="4DC0FA18" w14:textId="77777777" w:rsidR="00723553" w:rsidRPr="00EF577A" w:rsidRDefault="00723553" w:rsidP="00723553">
      <w:pPr>
        <w:pBdr>
          <w:left w:val="none" w:sz="0" w:space="10" w:color="auto"/>
        </w:pBdr>
        <w:spacing w:before="400" w:line="275" w:lineRule="atLeast"/>
        <w:ind w:left="200"/>
        <w:rPr>
          <w:color w:val="000000" w:themeColor="text1"/>
          <w:szCs w:val="22"/>
        </w:rPr>
      </w:pPr>
      <w:bookmarkStart w:id="186" w:name="co_anchor_I603fdeb2907d11ea80afece792"/>
      <w:bookmarkStart w:id="187" w:name="co_anchor_I603fdeb2907d11ea80afece79915"/>
      <w:r w:rsidRPr="00EF577A">
        <w:rPr>
          <w:b/>
          <w:color w:val="000000" w:themeColor="text1"/>
          <w:szCs w:val="22"/>
        </w:rPr>
        <w:t>D. Balance of Hardships</w:t>
      </w:r>
    </w:p>
    <w:p w14:paraId="7F473891" w14:textId="77777777" w:rsidR="00723553" w:rsidRPr="00EF577A" w:rsidRDefault="00723553" w:rsidP="00723553">
      <w:pPr>
        <w:spacing w:line="275" w:lineRule="atLeast"/>
        <w:jc w:val="both"/>
        <w:rPr>
          <w:color w:val="000000" w:themeColor="text1"/>
          <w:szCs w:val="22"/>
        </w:rPr>
      </w:pPr>
      <w:bookmarkStart w:id="188" w:name="co_anchor_B122012504351_1"/>
      <w:bookmarkEnd w:id="186"/>
      <w:bookmarkEnd w:id="187"/>
      <w:bookmarkEnd w:id="188"/>
    </w:p>
    <w:p w14:paraId="6A520850"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xml:space="preserve"> The Court finds that the balance of harms does not favor Plaintiff. Although Plaintiff is suffering some injury to its reputation and due to those software </w:t>
      </w:r>
      <w:proofErr w:type="gramStart"/>
      <w:r w:rsidRPr="00EF577A">
        <w:rPr>
          <w:color w:val="000000" w:themeColor="text1"/>
          <w:szCs w:val="22"/>
        </w:rPr>
        <w:t>applications</w:t>
      </w:r>
      <w:proofErr w:type="gramEnd"/>
      <w:r w:rsidRPr="00EF577A">
        <w:rPr>
          <w:color w:val="000000" w:themeColor="text1"/>
          <w:szCs w:val="22"/>
        </w:rPr>
        <w:t xml:space="preserve"> that are still interfered with under the most recent version of Spyware Doctor, such as Zango's “premium version” and “</w:t>
      </w:r>
      <w:proofErr w:type="spellStart"/>
      <w:r w:rsidRPr="00EF577A">
        <w:rPr>
          <w:color w:val="000000" w:themeColor="text1"/>
          <w:szCs w:val="22"/>
        </w:rPr>
        <w:t>Cyberhawk</w:t>
      </w:r>
      <w:proofErr w:type="spellEnd"/>
      <w:r w:rsidRPr="00EF577A">
        <w:rPr>
          <w:color w:val="000000" w:themeColor="text1"/>
          <w:szCs w:val="22"/>
        </w:rPr>
        <w:t>,” this harm has been substantially mitigated by the recent changes undertaken by Defendant. Further, this injury is matched by competing harms that would result to Defendant were this Court to order a TRO or preliminary injunction. Defendant's harm consists both in its own reputational interest in being able to properly block software it deems harmful. A Court-imposed injunction would also encourage a flood of similar applications by other companies whose software Spyware Doctor blocks, especially in the context of this case where the ultimate likelihood of success on the merits is low. The probable cumulative effect of such lawsuits would severely hamper Defendant's business. Thus, Plaintiff has failed to demonstrate that the balance of hardships tips in its favor.</w:t>
      </w:r>
    </w:p>
    <w:p w14:paraId="6815C5CB"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2651E9B2" w14:textId="77777777" w:rsidR="00723553" w:rsidRPr="00EF577A" w:rsidRDefault="00723553" w:rsidP="00723553">
      <w:pPr>
        <w:pBdr>
          <w:left w:val="none" w:sz="0" w:space="10" w:color="auto"/>
        </w:pBdr>
        <w:spacing w:before="400" w:line="275" w:lineRule="atLeast"/>
        <w:ind w:left="200"/>
        <w:rPr>
          <w:color w:val="000000" w:themeColor="text1"/>
          <w:szCs w:val="22"/>
        </w:rPr>
      </w:pPr>
      <w:bookmarkStart w:id="189" w:name="co_anchor_I603fdeb3907d11ea80afece792"/>
      <w:bookmarkStart w:id="190" w:name="co_anchor_I603fdeb3907d11ea80afece79915"/>
      <w:r w:rsidRPr="00EF577A">
        <w:rPr>
          <w:b/>
          <w:color w:val="000000" w:themeColor="text1"/>
          <w:szCs w:val="22"/>
        </w:rPr>
        <w:t>E. The Public Interest Favors Defendant</w:t>
      </w:r>
    </w:p>
    <w:p w14:paraId="2F7F0930" w14:textId="77777777" w:rsidR="00723553" w:rsidRPr="00EF577A" w:rsidRDefault="00723553" w:rsidP="00723553">
      <w:pPr>
        <w:spacing w:line="275" w:lineRule="atLeast"/>
        <w:jc w:val="both"/>
        <w:rPr>
          <w:color w:val="000000" w:themeColor="text1"/>
          <w:szCs w:val="22"/>
        </w:rPr>
      </w:pPr>
      <w:bookmarkStart w:id="191" w:name="co_anchor_B132012504351_1"/>
      <w:bookmarkEnd w:id="189"/>
      <w:bookmarkEnd w:id="190"/>
      <w:bookmarkEnd w:id="191"/>
    </w:p>
    <w:p w14:paraId="379040C4"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As the Court has already discussed, it is in the public interest to allow companies similar to Defendant to be able to exercise their judgment and block potential malware applications. Thus, this factor points in Defendant's favor as well.</w:t>
      </w:r>
    </w:p>
    <w:p w14:paraId="3411803C"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1E716041"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 * * * *</w:t>
      </w:r>
    </w:p>
    <w:p w14:paraId="7E866B03"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05C44449"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Given the above analysis, Plaintiff is unable to satisfy either the traditional or alternative test for obtaining either a temporary restraining order or a preliminary injunction.</w:t>
      </w:r>
    </w:p>
    <w:p w14:paraId="557C511A"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1D402F35" w14:textId="77777777" w:rsidR="00723553" w:rsidRPr="00EF577A" w:rsidRDefault="00723553" w:rsidP="00723553">
      <w:pPr>
        <w:spacing w:before="400" w:line="275" w:lineRule="atLeast"/>
        <w:rPr>
          <w:color w:val="000000" w:themeColor="text1"/>
          <w:szCs w:val="22"/>
        </w:rPr>
      </w:pPr>
      <w:bookmarkStart w:id="192" w:name="co_anchor_I603fdeb4907d11ea80afece792"/>
      <w:bookmarkStart w:id="193" w:name="co_anchor_I603fdeb4907d11ea80afece79915"/>
      <w:r w:rsidRPr="00EF577A">
        <w:rPr>
          <w:b/>
          <w:color w:val="000000" w:themeColor="text1"/>
          <w:szCs w:val="22"/>
        </w:rPr>
        <w:t>IV. CONCLUSION</w:t>
      </w:r>
    </w:p>
    <w:bookmarkEnd w:id="192"/>
    <w:bookmarkEnd w:id="193"/>
    <w:p w14:paraId="425FD926" w14:textId="77777777" w:rsidR="00723553" w:rsidRPr="00EF577A" w:rsidRDefault="00723553" w:rsidP="00723553">
      <w:pPr>
        <w:spacing w:line="275" w:lineRule="atLeast"/>
        <w:jc w:val="both"/>
        <w:rPr>
          <w:color w:val="000000" w:themeColor="text1"/>
          <w:szCs w:val="22"/>
        </w:rPr>
      </w:pPr>
    </w:p>
    <w:p w14:paraId="721A58EC"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For the foregoing reasons, Plaintiff's motion is DENIED</w:t>
      </w:r>
    </w:p>
    <w:p w14:paraId="77D258EE" w14:textId="77777777" w:rsidR="00723553" w:rsidRPr="00EF577A" w:rsidRDefault="00723553" w:rsidP="00723553">
      <w:pPr>
        <w:spacing w:line="275" w:lineRule="atLeast"/>
        <w:jc w:val="both"/>
        <w:rPr>
          <w:color w:val="000000" w:themeColor="text1"/>
          <w:szCs w:val="22"/>
        </w:rPr>
      </w:pPr>
      <w:r w:rsidRPr="00EF577A">
        <w:rPr>
          <w:color w:val="000000" w:themeColor="text1"/>
          <w:szCs w:val="22"/>
        </w:rPr>
        <w:t> </w:t>
      </w:r>
    </w:p>
    <w:p w14:paraId="60460201" w14:textId="77777777" w:rsidR="004F4E7A" w:rsidRPr="00EF577A" w:rsidRDefault="004F4E7A" w:rsidP="004F4E7A">
      <w:pPr>
        <w:widowControl w:val="0"/>
        <w:autoSpaceDE w:val="0"/>
        <w:autoSpaceDN w:val="0"/>
        <w:adjustRightInd w:val="0"/>
        <w:jc w:val="both"/>
        <w:rPr>
          <w:color w:val="000000"/>
          <w:szCs w:val="22"/>
        </w:rPr>
      </w:pPr>
    </w:p>
    <w:sectPr w:rsidR="004F4E7A" w:rsidRPr="00EF577A">
      <w:type w:val="continuous"/>
      <w:pgSz w:w="12240" w:h="15840"/>
      <w:pgMar w:top="180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A2BEF" w14:textId="77777777" w:rsidR="00802B70" w:rsidRDefault="00802B70">
      <w:r>
        <w:separator/>
      </w:r>
    </w:p>
  </w:endnote>
  <w:endnote w:type="continuationSeparator" w:id="0">
    <w:p w14:paraId="0594C43A" w14:textId="77777777" w:rsidR="00802B70" w:rsidRDefault="0080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0685233"/>
      <w:docPartObj>
        <w:docPartGallery w:val="Page Numbers (Bottom of Page)"/>
        <w:docPartUnique/>
      </w:docPartObj>
    </w:sdtPr>
    <w:sdtEndPr>
      <w:rPr>
        <w:noProof/>
      </w:rPr>
    </w:sdtEndPr>
    <w:sdtContent>
      <w:p w14:paraId="04F2808D" w14:textId="0B575C6A" w:rsidR="00723553" w:rsidRDefault="007235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7C984" w14:textId="77777777" w:rsidR="00F855B6" w:rsidRDefault="00F855B6">
    <w:pPr>
      <w:widowControl w:val="0"/>
      <w:autoSpaceDE w:val="0"/>
      <w:autoSpaceDN w:val="0"/>
      <w:adjustRightInd w:val="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EC037" w14:textId="77777777" w:rsidR="00802B70" w:rsidRDefault="00802B70">
      <w:r>
        <w:separator/>
      </w:r>
    </w:p>
  </w:footnote>
  <w:footnote w:type="continuationSeparator" w:id="0">
    <w:p w14:paraId="5F193218" w14:textId="77777777" w:rsidR="00802B70" w:rsidRDefault="00802B70">
      <w:r>
        <w:continuationSeparator/>
      </w:r>
    </w:p>
  </w:footnote>
  <w:footnote w:id="1">
    <w:p w14:paraId="1E7B03E7" w14:textId="77777777" w:rsidR="00723B80" w:rsidRDefault="00723B80" w:rsidP="00723B80">
      <w:pPr>
        <w:pStyle w:val="FootnoteText"/>
      </w:pPr>
      <w:r>
        <w:rPr>
          <w:rStyle w:val="FootnoteReference"/>
        </w:rPr>
        <w:t>23</w:t>
      </w:r>
      <w:r>
        <w:t xml:space="preserve"> </w:t>
      </w:r>
      <w:r w:rsidRPr="00226994">
        <w:rPr>
          <w:color w:val="000000" w:themeColor="text1"/>
        </w:rPr>
        <w:t xml:space="preserve">In </w:t>
      </w:r>
      <w:hyperlink r:id="rId1">
        <w:r w:rsidRPr="00226994">
          <w:rPr>
            <w:i/>
            <w:color w:val="000000" w:themeColor="text1"/>
          </w:rPr>
          <w:t>Marriott</w:t>
        </w:r>
      </w:hyperlink>
      <w:r w:rsidRPr="00226994">
        <w:rPr>
          <w:color w:val="000000" w:themeColor="text1"/>
        </w:rPr>
        <w:t xml:space="preserve">, the court applied the same contract principle to find Marriott's promises of adequate data security in its online privacy policies enforceable under Maryland and New York law, rejecting Marriott's similar argument that the plaintiffs were required to plead “they read, saw, or understood the Privacy Statements” to state a claim for breach of contract. </w:t>
      </w:r>
      <w:hyperlink r:id="rId2" w:anchor="co_pp_sp_7903_484">
        <w:r w:rsidRPr="00226994">
          <w:rPr>
            <w:color w:val="000000" w:themeColor="text1"/>
          </w:rPr>
          <w:t>440 F. Supp. 3d at 484-85</w:t>
        </w:r>
      </w:hyperlink>
      <w:r w:rsidRPr="00226994">
        <w:rPr>
          <w:color w:val="000000" w:themeColor="text1"/>
        </w:rPr>
        <w:t xml:space="preserve">. The court concluded that the defendants' privacy statements “constitute objective offers to protect the personal information that it collects under the terms of the privacy statements.” </w:t>
      </w:r>
      <w:hyperlink r:id="rId3">
        <w:r w:rsidRPr="00226994">
          <w:rPr>
            <w:i/>
            <w:color w:val="000000" w:themeColor="text1"/>
          </w:rPr>
          <w:t>Id.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60467" w14:textId="77777777" w:rsidR="00F855B6" w:rsidRDefault="00F855B6">
    <w:pPr>
      <w:widowControl w:val="0"/>
      <w:autoSpaceDE w:val="0"/>
      <w:autoSpaceDN w:val="0"/>
      <w:adjustRightInd w:val="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CB4BC8"/>
    <w:multiLevelType w:val="hybridMultilevel"/>
    <w:tmpl w:val="B2D6408C"/>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23C8E"/>
    <w:multiLevelType w:val="hybridMultilevel"/>
    <w:tmpl w:val="BA643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15F0EBF"/>
    <w:multiLevelType w:val="hybridMultilevel"/>
    <w:tmpl w:val="AD901A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557F3F"/>
    <w:multiLevelType w:val="hybridMultilevel"/>
    <w:tmpl w:val="42842EDE"/>
    <w:lvl w:ilvl="0" w:tplc="717061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8808498">
    <w:abstractNumId w:val="2"/>
  </w:num>
  <w:num w:numId="2" w16cid:durableId="1287658004">
    <w:abstractNumId w:val="1"/>
  </w:num>
  <w:num w:numId="3" w16cid:durableId="1976325089">
    <w:abstractNumId w:val="0"/>
  </w:num>
  <w:num w:numId="4" w16cid:durableId="12392895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05"/>
    <w:rsid w:val="000202CE"/>
    <w:rsid w:val="00047A8D"/>
    <w:rsid w:val="000E4328"/>
    <w:rsid w:val="000F48FD"/>
    <w:rsid w:val="00163EBA"/>
    <w:rsid w:val="001736AC"/>
    <w:rsid w:val="001808C0"/>
    <w:rsid w:val="00184DA7"/>
    <w:rsid w:val="001A3E94"/>
    <w:rsid w:val="001B77E2"/>
    <w:rsid w:val="001E55D5"/>
    <w:rsid w:val="001F3AB1"/>
    <w:rsid w:val="002110FD"/>
    <w:rsid w:val="00215AA0"/>
    <w:rsid w:val="0021793A"/>
    <w:rsid w:val="00247D05"/>
    <w:rsid w:val="0026583A"/>
    <w:rsid w:val="00273892"/>
    <w:rsid w:val="002773B5"/>
    <w:rsid w:val="00292764"/>
    <w:rsid w:val="00292ED3"/>
    <w:rsid w:val="002A1735"/>
    <w:rsid w:val="002B4263"/>
    <w:rsid w:val="002E2690"/>
    <w:rsid w:val="002F3E4A"/>
    <w:rsid w:val="002F4373"/>
    <w:rsid w:val="0030397E"/>
    <w:rsid w:val="00311104"/>
    <w:rsid w:val="00316E7E"/>
    <w:rsid w:val="0038244C"/>
    <w:rsid w:val="00391F92"/>
    <w:rsid w:val="003A1C04"/>
    <w:rsid w:val="003B6E99"/>
    <w:rsid w:val="003D2C96"/>
    <w:rsid w:val="003F3186"/>
    <w:rsid w:val="003F72B0"/>
    <w:rsid w:val="00401986"/>
    <w:rsid w:val="00435A3F"/>
    <w:rsid w:val="004B5E16"/>
    <w:rsid w:val="004B7A50"/>
    <w:rsid w:val="004E130A"/>
    <w:rsid w:val="004F4E7A"/>
    <w:rsid w:val="00533A28"/>
    <w:rsid w:val="005355A6"/>
    <w:rsid w:val="005524B0"/>
    <w:rsid w:val="005668C4"/>
    <w:rsid w:val="00572049"/>
    <w:rsid w:val="00572B5F"/>
    <w:rsid w:val="00573010"/>
    <w:rsid w:val="00573E2F"/>
    <w:rsid w:val="0058673E"/>
    <w:rsid w:val="005A58C5"/>
    <w:rsid w:val="005B284F"/>
    <w:rsid w:val="005F1DDD"/>
    <w:rsid w:val="00616FF1"/>
    <w:rsid w:val="006209CF"/>
    <w:rsid w:val="0064382B"/>
    <w:rsid w:val="00680244"/>
    <w:rsid w:val="00700664"/>
    <w:rsid w:val="00723553"/>
    <w:rsid w:val="00723B80"/>
    <w:rsid w:val="007331DC"/>
    <w:rsid w:val="007342E8"/>
    <w:rsid w:val="007519DD"/>
    <w:rsid w:val="00755981"/>
    <w:rsid w:val="00773D1F"/>
    <w:rsid w:val="00782611"/>
    <w:rsid w:val="007D78BF"/>
    <w:rsid w:val="00802B70"/>
    <w:rsid w:val="00840F46"/>
    <w:rsid w:val="008541FB"/>
    <w:rsid w:val="0088656C"/>
    <w:rsid w:val="008B5AE2"/>
    <w:rsid w:val="008D7FD2"/>
    <w:rsid w:val="008E28E9"/>
    <w:rsid w:val="009108B3"/>
    <w:rsid w:val="00925595"/>
    <w:rsid w:val="0099067A"/>
    <w:rsid w:val="009E6E54"/>
    <w:rsid w:val="00A01CF7"/>
    <w:rsid w:val="00A06D8B"/>
    <w:rsid w:val="00A36E46"/>
    <w:rsid w:val="00AC0D80"/>
    <w:rsid w:val="00AC4666"/>
    <w:rsid w:val="00AC4F67"/>
    <w:rsid w:val="00AC6783"/>
    <w:rsid w:val="00B24652"/>
    <w:rsid w:val="00B35519"/>
    <w:rsid w:val="00B769E3"/>
    <w:rsid w:val="00B84538"/>
    <w:rsid w:val="00B94BDB"/>
    <w:rsid w:val="00BA7BAA"/>
    <w:rsid w:val="00BE2705"/>
    <w:rsid w:val="00C11C6F"/>
    <w:rsid w:val="00C276A4"/>
    <w:rsid w:val="00C423AA"/>
    <w:rsid w:val="00C541DE"/>
    <w:rsid w:val="00C66C27"/>
    <w:rsid w:val="00C730AA"/>
    <w:rsid w:val="00C75BD3"/>
    <w:rsid w:val="00C81659"/>
    <w:rsid w:val="00C86493"/>
    <w:rsid w:val="00CA0CF8"/>
    <w:rsid w:val="00CE726C"/>
    <w:rsid w:val="00CF1402"/>
    <w:rsid w:val="00D1143B"/>
    <w:rsid w:val="00D11DD1"/>
    <w:rsid w:val="00D25ABC"/>
    <w:rsid w:val="00D43576"/>
    <w:rsid w:val="00D709C4"/>
    <w:rsid w:val="00D918DA"/>
    <w:rsid w:val="00DB0A85"/>
    <w:rsid w:val="00DB4202"/>
    <w:rsid w:val="00DC43FF"/>
    <w:rsid w:val="00DF071C"/>
    <w:rsid w:val="00DF49D4"/>
    <w:rsid w:val="00DF66F9"/>
    <w:rsid w:val="00E61E96"/>
    <w:rsid w:val="00E715F4"/>
    <w:rsid w:val="00E9687E"/>
    <w:rsid w:val="00EF577A"/>
    <w:rsid w:val="00F239EE"/>
    <w:rsid w:val="00F427AA"/>
    <w:rsid w:val="00F4328B"/>
    <w:rsid w:val="00F44788"/>
    <w:rsid w:val="00F6314C"/>
    <w:rsid w:val="00F72D56"/>
    <w:rsid w:val="00F855B6"/>
    <w:rsid w:val="00F87C7E"/>
    <w:rsid w:val="00FB2468"/>
    <w:rsid w:val="00FE3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625C"/>
  <w15:chartTrackingRefBased/>
  <w15:docId w15:val="{8F7FF742-3D3D-4D58-BE30-FF4970CC8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184D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C8165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918DA"/>
    <w:pPr>
      <w:tabs>
        <w:tab w:val="center" w:pos="4320"/>
        <w:tab w:val="right" w:pos="8640"/>
      </w:tabs>
    </w:pPr>
  </w:style>
  <w:style w:type="paragraph" w:styleId="Footer">
    <w:name w:val="footer"/>
    <w:basedOn w:val="Normal"/>
    <w:link w:val="FooterChar"/>
    <w:uiPriority w:val="99"/>
    <w:rsid w:val="00D918DA"/>
    <w:pPr>
      <w:tabs>
        <w:tab w:val="center" w:pos="4320"/>
        <w:tab w:val="right" w:pos="8640"/>
      </w:tabs>
    </w:pPr>
  </w:style>
  <w:style w:type="paragraph" w:styleId="FootnoteText">
    <w:name w:val="footnote text"/>
    <w:basedOn w:val="Normal"/>
    <w:link w:val="FootnoteTextChar"/>
    <w:uiPriority w:val="99"/>
    <w:rsid w:val="00573010"/>
    <w:rPr>
      <w:sz w:val="20"/>
    </w:rPr>
  </w:style>
  <w:style w:type="character" w:styleId="FootnoteReference">
    <w:name w:val="footnote reference"/>
    <w:basedOn w:val="DefaultParagraphFont"/>
    <w:uiPriority w:val="99"/>
    <w:rsid w:val="00573010"/>
    <w:rPr>
      <w:vertAlign w:val="superscript"/>
    </w:rPr>
  </w:style>
  <w:style w:type="character" w:customStyle="1" w:styleId="HeaderChar">
    <w:name w:val="Header Char"/>
    <w:basedOn w:val="DefaultParagraphFont"/>
    <w:link w:val="Header"/>
    <w:uiPriority w:val="99"/>
    <w:rsid w:val="00FB2468"/>
    <w:rPr>
      <w:sz w:val="24"/>
      <w:szCs w:val="24"/>
    </w:rPr>
  </w:style>
  <w:style w:type="character" w:customStyle="1" w:styleId="FooterChar">
    <w:name w:val="Footer Char"/>
    <w:basedOn w:val="DefaultParagraphFont"/>
    <w:link w:val="Footer"/>
    <w:uiPriority w:val="99"/>
    <w:rsid w:val="00FB2468"/>
    <w:rPr>
      <w:sz w:val="24"/>
      <w:szCs w:val="24"/>
    </w:rPr>
  </w:style>
  <w:style w:type="paragraph" w:styleId="NoSpacing">
    <w:name w:val="No Spacing"/>
    <w:uiPriority w:val="1"/>
    <w:qFormat/>
    <w:rsid w:val="00F239EE"/>
    <w:rPr>
      <w:rFonts w:asciiTheme="minorHAnsi" w:eastAsiaTheme="minorEastAsia" w:hAnsiTheme="minorHAnsi"/>
      <w:szCs w:val="22"/>
    </w:rPr>
  </w:style>
  <w:style w:type="character" w:customStyle="1" w:styleId="Heading1Char">
    <w:name w:val="Heading 1 Char"/>
    <w:basedOn w:val="DefaultParagraphFont"/>
    <w:link w:val="Heading1"/>
    <w:uiPriority w:val="9"/>
    <w:rsid w:val="00184DA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84DA7"/>
    <w:pPr>
      <w:spacing w:line="259" w:lineRule="auto"/>
      <w:outlineLvl w:val="9"/>
    </w:pPr>
  </w:style>
  <w:style w:type="paragraph" w:styleId="TOC1">
    <w:name w:val="toc 1"/>
    <w:basedOn w:val="Normal"/>
    <w:next w:val="Normal"/>
    <w:autoRedefine/>
    <w:uiPriority w:val="39"/>
    <w:rsid w:val="00184DA7"/>
    <w:pPr>
      <w:spacing w:after="100"/>
    </w:pPr>
  </w:style>
  <w:style w:type="character" w:styleId="Hyperlink">
    <w:name w:val="Hyperlink"/>
    <w:basedOn w:val="DefaultParagraphFont"/>
    <w:uiPriority w:val="99"/>
    <w:unhideWhenUsed/>
    <w:rsid w:val="00184DA7"/>
    <w:rPr>
      <w:color w:val="0563C1" w:themeColor="hyperlink"/>
      <w:u w:val="single"/>
    </w:rPr>
  </w:style>
  <w:style w:type="character" w:customStyle="1" w:styleId="Heading3Char">
    <w:name w:val="Heading 3 Char"/>
    <w:basedOn w:val="DefaultParagraphFont"/>
    <w:link w:val="Heading3"/>
    <w:rsid w:val="00C81659"/>
    <w:rPr>
      <w:rFonts w:asciiTheme="majorHAnsi" w:eastAsiaTheme="majorEastAsia" w:hAnsiTheme="majorHAnsi" w:cstheme="majorBidi"/>
      <w:color w:val="1F3763" w:themeColor="accent1" w:themeShade="7F"/>
      <w:sz w:val="24"/>
      <w:szCs w:val="24"/>
    </w:rPr>
  </w:style>
  <w:style w:type="paragraph" w:styleId="NormalWeb">
    <w:name w:val="Normal (Web)"/>
    <w:basedOn w:val="Normal"/>
    <w:unhideWhenUsed/>
    <w:rsid w:val="00C81659"/>
    <w:pPr>
      <w:spacing w:before="100" w:beforeAutospacing="1" w:after="100" w:afterAutospacing="1"/>
    </w:pPr>
  </w:style>
  <w:style w:type="character" w:styleId="Strong">
    <w:name w:val="Strong"/>
    <w:basedOn w:val="DefaultParagraphFont"/>
    <w:uiPriority w:val="22"/>
    <w:qFormat/>
    <w:rsid w:val="00C81659"/>
    <w:rPr>
      <w:b/>
      <w:bCs/>
    </w:rPr>
  </w:style>
  <w:style w:type="character" w:customStyle="1" w:styleId="apple-converted-space">
    <w:name w:val="apple-converted-space"/>
    <w:basedOn w:val="DefaultParagraphFont"/>
    <w:rsid w:val="00C81659"/>
  </w:style>
  <w:style w:type="character" w:styleId="Emphasis">
    <w:name w:val="Emphasis"/>
    <w:basedOn w:val="DefaultParagraphFont"/>
    <w:uiPriority w:val="20"/>
    <w:qFormat/>
    <w:rsid w:val="00C81659"/>
    <w:rPr>
      <w:i/>
      <w:iCs/>
    </w:rPr>
  </w:style>
  <w:style w:type="paragraph" w:styleId="ListParagraph">
    <w:name w:val="List Paragraph"/>
    <w:basedOn w:val="Normal"/>
    <w:uiPriority w:val="34"/>
    <w:qFormat/>
    <w:rsid w:val="00C81659"/>
    <w:pPr>
      <w:ind w:left="720"/>
      <w:contextualSpacing/>
    </w:pPr>
  </w:style>
  <w:style w:type="paragraph" w:styleId="BalloonText">
    <w:name w:val="Balloon Text"/>
    <w:basedOn w:val="Normal"/>
    <w:link w:val="BalloonTextChar"/>
    <w:uiPriority w:val="99"/>
    <w:unhideWhenUsed/>
    <w:rsid w:val="00C81659"/>
    <w:rPr>
      <w:rFonts w:ascii="Tahoma" w:hAnsi="Tahoma" w:cs="Tahoma"/>
      <w:sz w:val="16"/>
      <w:szCs w:val="16"/>
    </w:rPr>
  </w:style>
  <w:style w:type="character" w:customStyle="1" w:styleId="BalloonTextChar">
    <w:name w:val="Balloon Text Char"/>
    <w:basedOn w:val="DefaultParagraphFont"/>
    <w:link w:val="BalloonText"/>
    <w:uiPriority w:val="99"/>
    <w:rsid w:val="00C81659"/>
    <w:rPr>
      <w:rFonts w:ascii="Tahoma" w:hAnsi="Tahoma" w:cs="Tahoma"/>
      <w:sz w:val="16"/>
      <w:szCs w:val="16"/>
    </w:rPr>
  </w:style>
  <w:style w:type="character" w:customStyle="1" w:styleId="FootnoteTextChar">
    <w:name w:val="Footnote Text Char"/>
    <w:basedOn w:val="DefaultParagraphFont"/>
    <w:link w:val="FootnoteText"/>
    <w:uiPriority w:val="99"/>
    <w:rsid w:val="00C81659"/>
  </w:style>
  <w:style w:type="numbering" w:customStyle="1" w:styleId="NoList1">
    <w:name w:val="No List1"/>
    <w:next w:val="NoList"/>
    <w:uiPriority w:val="99"/>
    <w:semiHidden/>
    <w:unhideWhenUsed/>
    <w:rsid w:val="00C81659"/>
  </w:style>
  <w:style w:type="numbering" w:customStyle="1" w:styleId="NoList2">
    <w:name w:val="No List2"/>
    <w:next w:val="NoList"/>
    <w:uiPriority w:val="99"/>
    <w:semiHidden/>
    <w:unhideWhenUsed/>
    <w:rsid w:val="00C81659"/>
  </w:style>
  <w:style w:type="numbering" w:customStyle="1" w:styleId="NoList3">
    <w:name w:val="No List3"/>
    <w:next w:val="NoList"/>
    <w:uiPriority w:val="99"/>
    <w:semiHidden/>
    <w:unhideWhenUsed/>
    <w:rsid w:val="00C81659"/>
  </w:style>
  <w:style w:type="numbering" w:customStyle="1" w:styleId="NoList4">
    <w:name w:val="No List4"/>
    <w:next w:val="NoList"/>
    <w:uiPriority w:val="99"/>
    <w:semiHidden/>
    <w:unhideWhenUsed/>
    <w:rsid w:val="00C81659"/>
  </w:style>
  <w:style w:type="numbering" w:customStyle="1" w:styleId="NoList5">
    <w:name w:val="No List5"/>
    <w:next w:val="NoList"/>
    <w:uiPriority w:val="99"/>
    <w:semiHidden/>
    <w:unhideWhenUsed/>
    <w:rsid w:val="00C81659"/>
  </w:style>
  <w:style w:type="numbering" w:customStyle="1" w:styleId="NoList6">
    <w:name w:val="No List6"/>
    <w:next w:val="NoList"/>
    <w:uiPriority w:val="99"/>
    <w:semiHidden/>
    <w:unhideWhenUsed/>
    <w:rsid w:val="00C81659"/>
  </w:style>
  <w:style w:type="numbering" w:customStyle="1" w:styleId="NoList7">
    <w:name w:val="No List7"/>
    <w:next w:val="NoList"/>
    <w:uiPriority w:val="99"/>
    <w:semiHidden/>
    <w:unhideWhenUsed/>
    <w:rsid w:val="00C81659"/>
  </w:style>
  <w:style w:type="paragraph" w:styleId="TOC2">
    <w:name w:val="toc 2"/>
    <w:basedOn w:val="Normal"/>
    <w:next w:val="Normal"/>
    <w:autoRedefine/>
    <w:uiPriority w:val="39"/>
    <w:unhideWhenUsed/>
    <w:rsid w:val="00C81659"/>
    <w:pPr>
      <w:tabs>
        <w:tab w:val="left" w:pos="880"/>
        <w:tab w:val="right" w:leader="dot" w:pos="9350"/>
      </w:tabs>
      <w:ind w:left="216"/>
    </w:pPr>
  </w:style>
  <w:style w:type="paragraph" w:styleId="EndnoteText">
    <w:name w:val="endnote text"/>
    <w:basedOn w:val="Normal"/>
    <w:link w:val="EndnoteTextChar"/>
    <w:uiPriority w:val="99"/>
    <w:unhideWhenUsed/>
    <w:rsid w:val="00C81659"/>
    <w:rPr>
      <w:sz w:val="20"/>
    </w:rPr>
  </w:style>
  <w:style w:type="character" w:customStyle="1" w:styleId="EndnoteTextChar">
    <w:name w:val="Endnote Text Char"/>
    <w:basedOn w:val="DefaultParagraphFont"/>
    <w:link w:val="EndnoteText"/>
    <w:uiPriority w:val="99"/>
    <w:rsid w:val="00C81659"/>
  </w:style>
  <w:style w:type="character" w:styleId="EndnoteReference">
    <w:name w:val="endnote reference"/>
    <w:uiPriority w:val="99"/>
    <w:unhideWhenUsed/>
    <w:rsid w:val="00C81659"/>
    <w:rPr>
      <w:vertAlign w:val="superscript"/>
    </w:rPr>
  </w:style>
  <w:style w:type="character" w:customStyle="1" w:styleId="informationalsmall3">
    <w:name w:val="informationalsmall3"/>
    <w:rsid w:val="00C81659"/>
    <w:rPr>
      <w:rFonts w:ascii="Verdana" w:hAnsi="Verdana" w:hint="default"/>
    </w:rPr>
  </w:style>
  <w:style w:type="character" w:customStyle="1" w:styleId="apple-style-span">
    <w:name w:val="apple-style-span"/>
    <w:rsid w:val="00C81659"/>
  </w:style>
  <w:style w:type="numbering" w:customStyle="1" w:styleId="NoList8">
    <w:name w:val="No List8"/>
    <w:next w:val="NoList"/>
    <w:uiPriority w:val="99"/>
    <w:semiHidden/>
    <w:unhideWhenUsed/>
    <w:rsid w:val="00C81659"/>
  </w:style>
  <w:style w:type="paragraph" w:styleId="TOC3">
    <w:name w:val="toc 3"/>
    <w:basedOn w:val="Normal"/>
    <w:next w:val="Normal"/>
    <w:autoRedefine/>
    <w:uiPriority w:val="39"/>
    <w:unhideWhenUsed/>
    <w:rsid w:val="005F1DDD"/>
    <w:pPr>
      <w:spacing w:after="100"/>
      <w:ind w:left="480"/>
    </w:pPr>
  </w:style>
  <w:style w:type="character" w:styleId="CommentReference">
    <w:name w:val="annotation reference"/>
    <w:basedOn w:val="DefaultParagraphFont"/>
    <w:uiPriority w:val="99"/>
    <w:rsid w:val="00316E7E"/>
    <w:rPr>
      <w:rFonts w:cs="Times New Roman"/>
      <w:sz w:val="16"/>
      <w:szCs w:val="16"/>
    </w:rPr>
  </w:style>
  <w:style w:type="paragraph" w:styleId="CommentText">
    <w:name w:val="annotation text"/>
    <w:basedOn w:val="Normal"/>
    <w:link w:val="CommentTextChar"/>
    <w:uiPriority w:val="99"/>
    <w:rsid w:val="00316E7E"/>
    <w:pPr>
      <w:spacing w:after="160"/>
    </w:pPr>
    <w:rPr>
      <w:rFonts w:ascii="Calibri" w:hAnsi="Calibri"/>
      <w:sz w:val="20"/>
    </w:rPr>
  </w:style>
  <w:style w:type="character" w:customStyle="1" w:styleId="CommentTextChar">
    <w:name w:val="Comment Text Char"/>
    <w:basedOn w:val="DefaultParagraphFont"/>
    <w:link w:val="CommentText"/>
    <w:uiPriority w:val="99"/>
    <w:rsid w:val="00316E7E"/>
    <w:rPr>
      <w:rFonts w:ascii="Calibri" w:hAnsi="Calibr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westlaw.com/Search/Results.html?query=advanced%3a+OAID(5012691013)&amp;saveJuris=False&amp;contentType=BUSINESS-INVESTIGATOR&amp;startIndex=1&amp;contextData=(sc.Default)&amp;categoryPageUrl=Home%2fCompanyInvestigator&amp;originationContext=document&amp;vr=3.0&amp;rs=cblt1.0&amp;transitionType=DocumentItem" TargetMode="External"/><Relationship Id="rId117" Type="http://schemas.openxmlformats.org/officeDocument/2006/relationships/hyperlink" Target="http://www.westlaw.com/Link/Document/FullText?findType=Y&amp;serNum=1971103050&amp;pubNum=0000226&amp;fi=co_pp_sp_226_913&amp;originationContext=document&amp;vr=3.0&amp;rs=cblt1.0&amp;transitionType=DocumentItem&amp;contextData=(sc.Search)" TargetMode="External"/><Relationship Id="rId21" Type="http://schemas.openxmlformats.org/officeDocument/2006/relationships/hyperlink" Target="https://www.westlaw.com/Link/Document/FullText?findType=Y&amp;serNum=1914005342&amp;pubNum=577&amp;originatingDoc=Ide910ccbd8d211d983e7e9deff98dc6f&amp;refType=RP&amp;originationContext=document&amp;vr=3.0&amp;rs=cblt1.0&amp;transitionType=DocumentItem&amp;contextData=(sc.DocLink)" TargetMode="External"/><Relationship Id="rId42" Type="http://schemas.openxmlformats.org/officeDocument/2006/relationships/hyperlink" Target="https://www.westlaw.com/Link/Document/FullText?findType=Y&amp;serNum=2002617195&amp;pubNum=0000506&amp;originatingDoc=I7ff3c480b51711ec99dfd0646e92f5e0&amp;refType=RP&amp;fi=co_pp_sp_506_29&amp;originationContext=document&amp;vr=3.0&amp;rs=cblt1.0&amp;transitionType=DocumentItem&amp;contextData=(sc.History*oc.Default)" TargetMode="External"/><Relationship Id="rId47" Type="http://schemas.openxmlformats.org/officeDocument/2006/relationships/hyperlink" Target="https://www.westlaw.com/Link/Document/FullText?findType=Y&amp;serNum=2042371594&amp;pubNum=0000506&amp;originatingDoc=I7ff3c480b51711ec99dfd0646e92f5e0&amp;refType=RP&amp;fi=co_pp_sp_506_75&amp;originationContext=document&amp;vr=3.0&amp;rs=cblt1.0&amp;transitionType=DocumentItem&amp;contextData=(sc.History*oc.Default)" TargetMode="External"/><Relationship Id="rId63" Type="http://schemas.openxmlformats.org/officeDocument/2006/relationships/hyperlink" Target="https://www.westlaw.com/Link/Document/FullText?findType=Y&amp;serNum=2042371594&amp;pubNum=0000506&amp;originatingDoc=I7ff3c480b51711ec99dfd0646e92f5e0&amp;refType=RP&amp;fi=co_pp_sp_506_78&amp;originationContext=document&amp;vr=3.0&amp;rs=cblt1.0&amp;transitionType=DocumentItem&amp;contextData=(sc.History*oc.Default)" TargetMode="External"/><Relationship Id="rId68" Type="http://schemas.openxmlformats.org/officeDocument/2006/relationships/hyperlink" Target="https://www.westlaw.com/Link/Document/FullText?findType=L&amp;pubNum=1000600&amp;cite=USFRCPR60&amp;originatingDoc=I7ff3c480b51711ec99dfd0646e92f5e0&amp;refType=LQ&amp;originationContext=document&amp;vr=3.0&amp;rs=cblt1.0&amp;transitionType=DocumentItem&amp;contextData=(sc.History*oc.Default)" TargetMode="External"/><Relationship Id="rId84" Type="http://schemas.openxmlformats.org/officeDocument/2006/relationships/hyperlink" Target="http://www.westlaw.com/Link/Document/FullText?findType=L&amp;pubNum=1000547&amp;cite=14CFRS298.21&amp;originatingDoc=I426730e2fad411d9b386b232635db992&amp;refType=LQ&amp;originationContext=document&amp;vr=3.0&amp;rs=cblt1.0&amp;transitionType=DocumentItem&amp;contextData=(sc.UserEnteredCitation)" TargetMode="External"/><Relationship Id="rId89" Type="http://schemas.openxmlformats.org/officeDocument/2006/relationships/hyperlink" Target="http://www.westlaw.com/Link/Document/FullText?findType=Y&amp;serNum=1954101385&amp;pubNum=578&amp;originatingDoc=I426730e2fad411d9b386b232635db992&amp;refType=RP&amp;fi=co_pp_sp_578_558&amp;originationContext=document&amp;vr=3.0&amp;rs=cblt1.0&amp;transitionType=DocumentItem&amp;contextData=(sc.UserEnteredCitation)" TargetMode="External"/><Relationship Id="rId112" Type="http://schemas.openxmlformats.org/officeDocument/2006/relationships/hyperlink" Target="http://www.westlaw.com/Link/Document/FullText?findType=Y&amp;serNum=1998224836&amp;pubNum=0004041&amp;fi=co_pp_sp_4041_781&amp;originationContext=document&amp;vr=3.0&amp;rs=cblt1.0&amp;transitionType=DocumentItem&amp;contextData=(sc.Search)" TargetMode="External"/><Relationship Id="rId16" Type="http://schemas.openxmlformats.org/officeDocument/2006/relationships/hyperlink" Target="https://www.westlaw.com/Link/Document/FullText?findType=Y&amp;serNum=1930130300&amp;pubNum=601&amp;originatingDoc=Ide910ccbd8d211d983e7e9deff98dc6f&amp;refType=RP&amp;fi=co_pp_sp_601_90&amp;originationContext=document&amp;vr=3.0&amp;rs=cblt1.0&amp;transitionType=DocumentItem&amp;contextData=(sc.DocLink)" TargetMode="External"/><Relationship Id="rId107" Type="http://schemas.openxmlformats.org/officeDocument/2006/relationships/hyperlink" Target="http://www.westlaw.com/Link/Document/FullText?findType=Y&amp;serNum=1992069400&amp;pubNum=0004040&amp;fi=co_pp_sp_4040_373&amp;originationContext=document&amp;vr=3.0&amp;rs=cblt1.0&amp;transitionType=DocumentItem&amp;contextData=(sc.Search)" TargetMode="External"/><Relationship Id="rId11" Type="http://schemas.openxmlformats.org/officeDocument/2006/relationships/hyperlink" Target="https://www.westlaw.com/Link/Document/FullText?findType=Y&amp;serNum=1928125019&amp;pubNum=660&amp;originatingDoc=Ide910ccbd8d211d983e7e9deff98dc6f&amp;refType=RP&amp;originationContext=document&amp;vr=3.0&amp;rs=cblt1.0&amp;transitionType=DocumentItem&amp;contextData=(sc.DocLink)" TargetMode="External"/><Relationship Id="rId32" Type="http://schemas.openxmlformats.org/officeDocument/2006/relationships/hyperlink" Target="https://www.westlaw.com/Link/Document/FullText?findType=Y&amp;serNum=2034145993&amp;pubNum=0000506&amp;originatingDoc=I7ff3c480b51711ec99dfd0646e92f5e0&amp;refType=RP&amp;fi=co_pp_sp_506_1175&amp;originationContext=document&amp;vr=3.0&amp;rs=cblt1.0&amp;transitionType=DocumentItem&amp;contextData=(sc.History*oc.Default)" TargetMode="External"/><Relationship Id="rId37" Type="http://schemas.openxmlformats.org/officeDocument/2006/relationships/hyperlink" Target="https://www.westlaw.com/Link/Document/FullText?findType=Y&amp;serNum=2042371594&amp;pubNum=0000506&amp;originatingDoc=I7ff3c480b51711ec99dfd0646e92f5e0&amp;refType=RP&amp;fi=co_pp_sp_506_74&amp;originationContext=document&amp;vr=3.0&amp;rs=cblt1.0&amp;transitionType=DocumentItem&amp;contextData=(sc.History*oc.Default)" TargetMode="External"/><Relationship Id="rId53" Type="http://schemas.openxmlformats.org/officeDocument/2006/relationships/hyperlink" Target="https://www.westlaw.com/Link/Document/FullText?findType=Y&amp;serNum=2002617195&amp;pubNum=0000506&amp;originatingDoc=I7ff3c480b51711ec99dfd0646e92f5e0&amp;refType=RP&amp;fi=co_pp_sp_506_30&amp;originationContext=document&amp;vr=3.0&amp;rs=cblt1.0&amp;transitionType=DocumentItem&amp;contextData=(sc.History*oc.Default)" TargetMode="External"/><Relationship Id="rId58" Type="http://schemas.openxmlformats.org/officeDocument/2006/relationships/hyperlink" Target="https://www.westlaw.com/Link/Document/FullText?findType=Y&amp;serNum=2055296774&amp;pubNum=0007047&amp;originatingDoc=I7ff3c480b51711ec99dfd0646e92f5e0&amp;refType=RP&amp;fi=co_pp_sp_7047_29&amp;originationContext=document&amp;vr=3.0&amp;rs=cblt1.0&amp;transitionType=DocumentItem&amp;contextData=(sc.History*oc.Default)" TargetMode="External"/><Relationship Id="rId74" Type="http://schemas.openxmlformats.org/officeDocument/2006/relationships/hyperlink" Target="https://www.westlaw.com/Link/Document/Blob/I309c97b0b55111eca5a0ed9c97d9f5ab.png?originationContext=document&amp;vr=3.0&amp;rs=cblt1.0&amp;transitionType=DocumentImage&amp;contextData=(sc.History*oc.Default)" TargetMode="External"/><Relationship Id="rId79" Type="http://schemas.openxmlformats.org/officeDocument/2006/relationships/hyperlink" Target="https://www.westlaw.com/Link/Document/Blob/I309ac2f0b55111eca5a0ed9c97d9f5ab.png?originationContext=document&amp;vr=3.0&amp;rs=cblt1.0&amp;transitionType=DocumentImage&amp;contextData=(sc.History*oc.Default)" TargetMode="External"/><Relationship Id="rId102" Type="http://schemas.openxmlformats.org/officeDocument/2006/relationships/hyperlink" Target="https://www.westlaw.com/Link/Document/FullText?findType=Y&amp;serNum=2055884132&amp;pubNum=0008173&amp;originatingDoc=I9281b5f001eb11edbb58ab6acf8e61e9&amp;refType=RP&amp;fi=co_pp_sp_8173_856&amp;originationContext=document&amp;vr=3.0&amp;rs=cblt1.0&amp;transitionType=DocumentItem&amp;contextData=(sc.Default)"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westlaw.com/Link/Document/FullText?findType=L&amp;pubNum=1000200&amp;cite=CACIS1798.29&amp;originatingDoc=I9281b5f001eb11edbb58ab6acf8e61e9&amp;refType=LQ&amp;originationContext=document&amp;vr=3.0&amp;rs=cblt1.0&amp;transitionType=DocumentItem&amp;contextData=(sc.Default)" TargetMode="External"/><Relationship Id="rId95" Type="http://schemas.openxmlformats.org/officeDocument/2006/relationships/hyperlink" Target="https://www.westlaw.com/Link/Document/FullText?findType=Y&amp;serNum=2034145993&amp;pubNum=0000506&amp;originatingDoc=I9281b5f001eb11edbb58ab6acf8e61e9&amp;refType=RP&amp;fi=co_pp_sp_506_1176&amp;originationContext=document&amp;vr=3.0&amp;rs=cblt1.0&amp;transitionType=DocumentItem&amp;contextData=(sc.Default)" TargetMode="External"/><Relationship Id="rId22" Type="http://schemas.openxmlformats.org/officeDocument/2006/relationships/hyperlink" Target="https://www.westlaw.com/Link/Document/FullText?findType=Y&amp;serNum=1878018549&amp;pubNum=596&amp;originatingDoc=Ide910ccbd8d211d983e7e9deff98dc6f&amp;refType=RP&amp;fi=co_pp_sp_596_334&amp;originationContext=document&amp;vr=3.0&amp;rs=cblt1.0&amp;transitionType=DocumentItem&amp;contextData=(sc.DocLink)" TargetMode="External"/><Relationship Id="rId27" Type="http://schemas.openxmlformats.org/officeDocument/2006/relationships/header" Target="header1.xml"/><Relationship Id="rId43" Type="http://schemas.openxmlformats.org/officeDocument/2006/relationships/hyperlink" Target="https://www.westlaw.com/Link/Document/FullText?findType=Y&amp;serNum=2002617195&amp;pubNum=0000506&amp;originatingDoc=I7ff3c480b51711ec99dfd0646e92f5e0&amp;refType=RP&amp;fi=co_pp_sp_506_29&amp;originationContext=document&amp;vr=3.0&amp;rs=cblt1.0&amp;transitionType=DocumentItem&amp;contextData=(sc.History*oc.Default)" TargetMode="External"/><Relationship Id="rId48" Type="http://schemas.openxmlformats.org/officeDocument/2006/relationships/hyperlink" Target="https://www.westlaw.com/Link/Document/FullText?findType=Y&amp;serNum=2034145993&amp;pubNum=0000506&amp;originatingDoc=I7ff3c480b51711ec99dfd0646e92f5e0&amp;refType=RP&amp;fi=co_pp_sp_506_1176&amp;originationContext=document&amp;vr=3.0&amp;rs=cblt1.0&amp;transitionType=DocumentItem&amp;contextData=(sc.History*oc.Default)" TargetMode="External"/><Relationship Id="rId64" Type="http://schemas.openxmlformats.org/officeDocument/2006/relationships/hyperlink" Target="https://www.westlaw.com/Link/Document/FullText?findType=Y&amp;serNum=2002617195&amp;pubNum=0000506&amp;originatingDoc=I7ff3c480b51711ec99dfd0646e92f5e0&amp;refType=RP&amp;fi=co_pp_sp_506_29&amp;originationContext=document&amp;vr=3.0&amp;rs=cblt1.0&amp;transitionType=DocumentItem&amp;contextData=(sc.History*oc.Default)" TargetMode="External"/><Relationship Id="rId69" Type="http://schemas.openxmlformats.org/officeDocument/2006/relationships/hyperlink" Target="https://www.westlaw.com/Link/Document/FullText?findType=Y&amp;serNum=2000561686&amp;pubNum=0000506&amp;originatingDoc=I7ff3c480b51711ec99dfd0646e92f5e0&amp;refType=RP&amp;fi=co_pp_sp_506_890&amp;originationContext=document&amp;vr=3.0&amp;rs=cblt1.0&amp;transitionType=DocumentItem&amp;contextData=(sc.History*oc.Default)" TargetMode="External"/><Relationship Id="rId113" Type="http://schemas.openxmlformats.org/officeDocument/2006/relationships/hyperlink" Target="http://www.westlaw.com/Link/Document/FullText?findType=Y&amp;serNum=1998224836&amp;pubNum=0004041&amp;fi=co_pp_sp_4041_796&amp;originationContext=document&amp;vr=3.0&amp;rs=cblt1.0&amp;transitionType=DocumentItem&amp;contextData=(sc.Search)" TargetMode="External"/><Relationship Id="rId118" Type="http://schemas.openxmlformats.org/officeDocument/2006/relationships/hyperlink" Target="http://www.westlaw.com/Link/Document/FullText?findType=Y&amp;serNum=0295730106&amp;pubNum=0164298&amp;originationContext=document&amp;vr=3.0&amp;rs=cblt1.0&amp;transitionType=DocumentItem&amp;contextData=(sc.Search)" TargetMode="External"/><Relationship Id="rId80" Type="http://schemas.openxmlformats.org/officeDocument/2006/relationships/hyperlink" Target="http://www.westlaw.com/Link/Document/FullText?findType=Y&amp;pubNum=225&amp;cite=178CAAPP2D881&amp;originatingDoc=I426730e2fad411d9b386b232635db992&amp;refType=RP&amp;originationContext=document&amp;vr=3.0&amp;rs=cblt1.0&amp;transitionType=DocumentItem&amp;contextData=(sc.UserEnteredCitation)" TargetMode="External"/><Relationship Id="rId85" Type="http://schemas.openxmlformats.org/officeDocument/2006/relationships/hyperlink" Target="http://www.westlaw.com/Link/Document/FullText?findType=L&amp;pubNum=1000547&amp;cite=14CFRS298.3&amp;originatingDoc=I426730e2fad411d9b386b232635db992&amp;refType=LQ&amp;originationContext=document&amp;vr=3.0&amp;rs=cblt1.0&amp;transitionType=DocumentItem&amp;contextData=(sc.UserEnteredCitation)" TargetMode="External"/><Relationship Id="rId12" Type="http://schemas.openxmlformats.org/officeDocument/2006/relationships/hyperlink" Target="https://www.westlaw.com/Link/Document/FullText?findType=Y&amp;serNum=1923101935&amp;pubNum=104&amp;originatingDoc=Ide910ccbd8d211d983e7e9deff98dc6f&amp;refType=RP&amp;originationContext=document&amp;vr=3.0&amp;rs=cblt1.0&amp;transitionType=DocumentItem&amp;contextData=(sc.DocLink)" TargetMode="External"/><Relationship Id="rId17" Type="http://schemas.openxmlformats.org/officeDocument/2006/relationships/hyperlink" Target="https://www.westlaw.com/Link/Document/FullText?findType=Y&amp;serNum=1926100307&amp;pubNum=577&amp;originatingDoc=Ide910ccbd8d211d983e7e9deff98dc6f&amp;refType=RP&amp;fi=co_pp_sp_577_270&amp;originationContext=document&amp;vr=3.0&amp;rs=cblt1.0&amp;transitionType=DocumentItem&amp;contextData=(sc.DocLink)" TargetMode="External"/><Relationship Id="rId33" Type="http://schemas.openxmlformats.org/officeDocument/2006/relationships/hyperlink" Target="https://www.westlaw.com/Link/Document/FullText?findType=Y&amp;serNum=2000561686&amp;pubNum=0000506&amp;originatingDoc=I7ff3c480b51711ec99dfd0646e92f5e0&amp;refType=RP&amp;fi=co_pp_sp_506_883&amp;originationContext=document&amp;vr=3.0&amp;rs=cblt1.0&amp;transitionType=DocumentItem&amp;contextData=(sc.History*oc.Default)" TargetMode="External"/><Relationship Id="rId38" Type="http://schemas.openxmlformats.org/officeDocument/2006/relationships/hyperlink" Target="https://www.westlaw.com/Link/Document/FullText?findType=Y&amp;serNum=2028567970&amp;pubNum=0000506&amp;originatingDoc=I7ff3c480b51711ec99dfd0646e92f5e0&amp;refType=RP&amp;fi=co_pp_sp_506_119&amp;originationContext=document&amp;vr=3.0&amp;rs=cblt1.0&amp;transitionType=DocumentItem&amp;contextData=(sc.History*oc.Default)" TargetMode="External"/><Relationship Id="rId59" Type="http://schemas.openxmlformats.org/officeDocument/2006/relationships/hyperlink" Target="https://www.westlaw.com/Link/Document/FullText?findType=Y&amp;serNum=2034145993&amp;pubNum=0000506&amp;originatingDoc=I7ff3c480b51711ec99dfd0646e92f5e0&amp;refType=RP&amp;fi=co_pp_sp_506_1177&amp;originationContext=document&amp;vr=3.0&amp;rs=cblt1.0&amp;transitionType=DocumentItem&amp;contextData=(sc.History*oc.Default)" TargetMode="External"/><Relationship Id="rId103" Type="http://schemas.openxmlformats.org/officeDocument/2006/relationships/hyperlink" Target="https://www.westlaw.com/Link/Document/FullText?findType=Y&amp;serNum=2040794803&amp;pubNum=0000506&amp;originatingDoc=I9281b5f001eb11edbb58ab6acf8e61e9&amp;refType=RP&amp;fi=co_pp_sp_506_1283&amp;originationContext=document&amp;vr=3.0&amp;rs=cblt1.0&amp;transitionType=DocumentItem&amp;contextData=(sc.Default)" TargetMode="External"/><Relationship Id="rId108" Type="http://schemas.openxmlformats.org/officeDocument/2006/relationships/hyperlink" Target="http://www.westlaw.com/Link/Document/FullText?findType=Y&amp;serNum=1992069400&amp;pubNum=0004040&amp;fi=co_pp_sp_4040_374&amp;originationContext=document&amp;vr=3.0&amp;rs=cblt1.0&amp;transitionType=DocumentItem&amp;contextData=(sc.Search)" TargetMode="External"/><Relationship Id="rId54" Type="http://schemas.openxmlformats.org/officeDocument/2006/relationships/hyperlink" Target="https://www.westlaw.com/Link/Document/FullText?findType=Y&amp;serNum=2034145993&amp;pubNum=0000506&amp;originatingDoc=I7ff3c480b51711ec99dfd0646e92f5e0&amp;refType=RP&amp;fi=co_pp_sp_506_1177&amp;originationContext=document&amp;vr=3.0&amp;rs=cblt1.0&amp;transitionType=DocumentItem&amp;contextData=(sc.History*oc.Default)" TargetMode="External"/><Relationship Id="rId70" Type="http://schemas.openxmlformats.org/officeDocument/2006/relationships/hyperlink" Target="https://www.westlaw.com/Link/Document/FullText?findType=Y&amp;serNum=2000561686&amp;pubNum=0000506&amp;originatingDoc=I7ff3c480b51711ec99dfd0646e92f5e0&amp;refType=RP&amp;originationContext=document&amp;vr=3.0&amp;rs=cblt1.0&amp;transitionType=DocumentItem&amp;contextData=(sc.History*oc.Default)" TargetMode="External"/><Relationship Id="rId75" Type="http://schemas.openxmlformats.org/officeDocument/2006/relationships/image" Target="media/image2.png"/><Relationship Id="rId91" Type="http://schemas.openxmlformats.org/officeDocument/2006/relationships/hyperlink" Target="https://www.westlaw.com/Link/Document/FullText?findType=Y&amp;serNum=2040794803&amp;pubNum=0000506&amp;originatingDoc=I9281b5f001eb11edbb58ab6acf8e61e9&amp;refType=RP&amp;fi=co_pp_sp_506_1283&amp;originationContext=document&amp;vr=3.0&amp;rs=cblt1.0&amp;transitionType=DocumentItem&amp;contextData=(sc.Default)" TargetMode="External"/><Relationship Id="rId96" Type="http://schemas.openxmlformats.org/officeDocument/2006/relationships/hyperlink" Target="https://www.westlaw.com/Link/Document/FullText?findType=Y&amp;serNum=2055884132&amp;pubNum=0008173&amp;originatingDoc=I9281b5f001eb11edbb58ab6acf8e61e9&amp;refType=RP&amp;fi=co_pp_sp_8173_856&amp;originationContext=document&amp;vr=3.0&amp;rs=cblt1.0&amp;transitionType=Document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estlaw.com/Link/Document/FullText?findType=Y&amp;serNum=1911004818&amp;pubNum=577&amp;originatingDoc=Ide910ccbd8d211d983e7e9deff98dc6f&amp;refType=RP&amp;fi=co_pp_sp_577_354&amp;originationContext=document&amp;vr=3.0&amp;rs=cblt1.0&amp;transitionType=DocumentItem&amp;contextData=(sc.DocLink)" TargetMode="External"/><Relationship Id="rId28" Type="http://schemas.openxmlformats.org/officeDocument/2006/relationships/footer" Target="footer1.xml"/><Relationship Id="rId49" Type="http://schemas.openxmlformats.org/officeDocument/2006/relationships/hyperlink" Target="https://www.westlaw.com/Link/Document/FullText?findType=Y&amp;serNum=2034145993&amp;pubNum=0000506&amp;originatingDoc=I7ff3c480b51711ec99dfd0646e92f5e0&amp;refType=RP&amp;fi=co_pp_sp_506_1178&amp;originationContext=document&amp;vr=3.0&amp;rs=cblt1.0&amp;transitionType=DocumentItem&amp;contextData=(sc.History*oc.Default)" TargetMode="External"/><Relationship Id="rId114" Type="http://schemas.openxmlformats.org/officeDocument/2006/relationships/hyperlink" Target="http://www.westlaw.com/Link/Document/FullText?findType=Y&amp;serNum=2028900390&amp;pubNum=0004637&amp;fi=co_pp_sp_4637_1176&amp;originationContext=document&amp;vr=3.0&amp;rs=cblt1.0&amp;transitionType=DocumentItem&amp;contextData=(sc.Search)" TargetMode="External"/><Relationship Id="rId119" Type="http://schemas.openxmlformats.org/officeDocument/2006/relationships/hyperlink" Target="http://www.westlaw.com/Link/Document/FullText?findType=Y&amp;serNum=2025166579&amp;pubNum=0004041&amp;fi=co_pp_sp_4041_885&amp;originationContext=document&amp;vr=3.0&amp;rs=cblt1.0&amp;transitionType=DocumentItem&amp;contextData=(sc.Search)" TargetMode="External"/><Relationship Id="rId44" Type="http://schemas.openxmlformats.org/officeDocument/2006/relationships/hyperlink" Target="https://www.westlaw.com/Link/Document/FullText?findType=Y&amp;serNum=0289906877&amp;pubNum=0101603&amp;originatingDoc=I7ff3c480b51711ec99dfd0646e92f5e0&amp;refType=TS&amp;originationContext=document&amp;vr=3.0&amp;rs=cblt1.0&amp;transitionType=DocumentItem&amp;contextData=(sc.History*oc.Default)" TargetMode="External"/><Relationship Id="rId60" Type="http://schemas.openxmlformats.org/officeDocument/2006/relationships/hyperlink" Target="https://www.westlaw.com/Link/Document/FullText?findType=Y&amp;serNum=2055296774&amp;pubNum=0007047&amp;originatingDoc=I7ff3c480b51711ec99dfd0646e92f5e0&amp;refType=RP&amp;fi=co_pp_sp_7047_29&amp;originationContext=document&amp;vr=3.0&amp;rs=cblt1.0&amp;transitionType=DocumentItem&amp;contextData=(sc.History*oc.Default)" TargetMode="External"/><Relationship Id="rId65" Type="http://schemas.openxmlformats.org/officeDocument/2006/relationships/hyperlink" Target="https://www.westlaw.com/Link/Document/FullText?findType=Y&amp;serNum=2034145993&amp;pubNum=0000506&amp;originatingDoc=I7ff3c480b51711ec99dfd0646e92f5e0&amp;refType=RP&amp;fi=co_pp_sp_506_1177&amp;originationContext=document&amp;vr=3.0&amp;rs=cblt1.0&amp;transitionType=DocumentItem&amp;contextData=(sc.History*oc.Default)" TargetMode="External"/><Relationship Id="rId81" Type="http://schemas.openxmlformats.org/officeDocument/2006/relationships/hyperlink" Target="http://www.westlaw.com/Link/Document/FullText?findType=Y&amp;serNum=1960107947&amp;pubNum=227&amp;originatingDoc=I426730e2fad411d9b386b232635db992&amp;refType=RP&amp;originationContext=document&amp;vr=3.0&amp;rs=cblt1.0&amp;transitionType=DocumentItem&amp;contextData=(sc.UserEnteredCitation)" TargetMode="External"/><Relationship Id="rId86" Type="http://schemas.openxmlformats.org/officeDocument/2006/relationships/hyperlink" Target="http://www.westlaw.com/Link/Document/FullText?findType=Y&amp;serNum=1954101385&amp;pubNum=578&amp;originatingDoc=I426730e2fad411d9b386b232635db992&amp;refType=RP&amp;fi=co_pp_sp_578_555&amp;originationContext=document&amp;vr=3.0&amp;rs=cblt1.0&amp;transitionType=DocumentItem&amp;contextData=(sc.UserEnteredCitation)" TargetMode="External"/><Relationship Id="rId4" Type="http://schemas.openxmlformats.org/officeDocument/2006/relationships/settings" Target="settings.xml"/><Relationship Id="rId9" Type="http://schemas.openxmlformats.org/officeDocument/2006/relationships/hyperlink" Target="https://www.westlaw.com/Link/Document/FullText?findType=Y&amp;serNum=1915003314&amp;pubNum=577&amp;originatingDoc=Ide910ccbd8d211d983e7e9deff98dc6f&amp;refType=RP&amp;originationContext=document&amp;vr=3.0&amp;rs=cblt1.0&amp;transitionType=DocumentItem&amp;contextData=(sc.DocLink)" TargetMode="External"/><Relationship Id="rId13" Type="http://schemas.openxmlformats.org/officeDocument/2006/relationships/hyperlink" Target="https://www.westlaw.com/Link/Document/FullText?findType=Y&amp;serNum=1928119347&amp;pubNum=161&amp;originatingDoc=Ide910ccbd8d211d983e7e9deff98dc6f&amp;refType=RP&amp;originationContext=document&amp;vr=3.0&amp;rs=cblt1.0&amp;transitionType=DocumentItem&amp;contextData=(sc.DocLink)" TargetMode="External"/><Relationship Id="rId18" Type="http://schemas.openxmlformats.org/officeDocument/2006/relationships/hyperlink" Target="https://www.westlaw.com/Link/Document/FullText?findType=Y&amp;serNum=1878018549&amp;pubNum=596&amp;originatingDoc=Ide910ccbd8d211d983e7e9deff98dc6f&amp;refType=RP&amp;fi=co_pp_sp_596_333&amp;originationContext=document&amp;vr=3.0&amp;rs=cblt1.0&amp;transitionType=DocumentItem&amp;contextData=(sc.DocLink)" TargetMode="External"/><Relationship Id="rId39" Type="http://schemas.openxmlformats.org/officeDocument/2006/relationships/hyperlink" Target="https://www.westlaw.com/Link/Document/FullText?findType=Y&amp;serNum=2034145993&amp;pubNum=0000506&amp;originatingDoc=I7ff3c480b51711ec99dfd0646e92f5e0&amp;refType=RP&amp;originationContext=document&amp;vr=3.0&amp;rs=cblt1.0&amp;transitionType=DocumentItem&amp;contextData=(sc.History*oc.Default)" TargetMode="External"/><Relationship Id="rId109" Type="http://schemas.openxmlformats.org/officeDocument/2006/relationships/hyperlink" Target="http://www.westlaw.com/Link/Document/FullText?findType=Y&amp;serNum=2001440612&amp;pubNum=0004041&amp;fi=co_pp_sp_4041_509&amp;originationContext=document&amp;vr=3.0&amp;rs=cblt1.0&amp;transitionType=DocumentItem&amp;contextData=(sc.Search)" TargetMode="External"/><Relationship Id="rId34" Type="http://schemas.openxmlformats.org/officeDocument/2006/relationships/hyperlink" Target="https://www.westlaw.com/Link/Document/FullText?findType=L&amp;pubNum=1000546&amp;cite=9USCAS3&amp;originatingDoc=I7ff3c480b51711ec99dfd0646e92f5e0&amp;refType=LQ&amp;originationContext=document&amp;vr=3.0&amp;rs=cblt1.0&amp;transitionType=DocumentItem&amp;contextData=(sc.History*oc.Default)" TargetMode="External"/><Relationship Id="rId50" Type="http://schemas.openxmlformats.org/officeDocument/2006/relationships/hyperlink" Target="https://www.westlaw.com/Link/Document/FullText?findType=Y&amp;serNum=2042371594&amp;pubNum=0000506&amp;originatingDoc=I7ff3c480b51711ec99dfd0646e92f5e0&amp;refType=RP&amp;fi=co_pp_sp_506_75&amp;originationContext=document&amp;vr=3.0&amp;rs=cblt1.0&amp;transitionType=DocumentItem&amp;contextData=(sc.History*oc.Default)" TargetMode="External"/><Relationship Id="rId55" Type="http://schemas.openxmlformats.org/officeDocument/2006/relationships/hyperlink" Target="https://www.westlaw.com/Link/Document/FullText?findType=Y&amp;serNum=2034145993&amp;pubNum=0000506&amp;originatingDoc=I7ff3c480b51711ec99dfd0646e92f5e0&amp;refType=RP&amp;fi=co_pp_sp_506_1178&amp;originationContext=document&amp;vr=3.0&amp;rs=cblt1.0&amp;transitionType=DocumentItem&amp;contextData=(sc.History*oc.Default)" TargetMode="External"/><Relationship Id="rId76" Type="http://schemas.openxmlformats.org/officeDocument/2006/relationships/hyperlink" Target="https://www.westlaw.com/Link/Document/Blob/I309c97b0b55111eca5a0ed9c97d9f5ab.png?originationContext=document&amp;vr=3.0&amp;rs=cblt1.0&amp;transitionType=DocumentImage&amp;contextData=(sc.History*oc.Default)" TargetMode="External"/><Relationship Id="rId97" Type="http://schemas.openxmlformats.org/officeDocument/2006/relationships/hyperlink" Target="https://www.westlaw.com/Link/Document/FullText?findType=Y&amp;serNum=2034145993&amp;pubNum=0000506&amp;originatingDoc=I9281b5f001eb11edbb58ab6acf8e61e9&amp;refType=RP&amp;fi=co_pp_sp_506_1177&amp;originationContext=document&amp;vr=3.0&amp;rs=cblt1.0&amp;transitionType=DocumentItem&amp;contextData=(sc.Default)" TargetMode="External"/><Relationship Id="rId104" Type="http://schemas.openxmlformats.org/officeDocument/2006/relationships/hyperlink" Target="http://www.westlaw.com/Link/Document/FullText?findType=L&amp;pubNum=1000199&amp;cite=CABPS17200&amp;originatingDoc=Idf6735c8a51b11e3a659df62eba144e8&amp;refType=LQ&amp;originationContext=document&amp;vr=3.0&amp;rs=cblt1.0&amp;transitionType=DocumentItem&amp;contextData=(sc.Search)" TargetMode="External"/><Relationship Id="rId120" Type="http://schemas.openxmlformats.org/officeDocument/2006/relationships/hyperlink" Target="http://www.westlaw.com/Link/Document/FullText?findType=Y&amp;serNum=0295730106&amp;pubNum=0164298&amp;originationContext=document&amp;vr=3.0&amp;rs=cblt1.0&amp;transitionType=DocumentItem&amp;contextData=(sc.Search)" TargetMode="External"/><Relationship Id="rId7" Type="http://schemas.openxmlformats.org/officeDocument/2006/relationships/endnotes" Target="endnotes.xml"/><Relationship Id="rId71" Type="http://schemas.openxmlformats.org/officeDocument/2006/relationships/hyperlink" Target="https://www.westlaw.com/Link/Document/Blob/I309bfb70b55111eca5a0ed9c97d9f5ab.png?originationContext=document&amp;vr=3.0&amp;rs=cblt1.0&amp;transitionType=DocumentImage&amp;contextData=(sc.History*oc.Default)" TargetMode="External"/><Relationship Id="rId92" Type="http://schemas.openxmlformats.org/officeDocument/2006/relationships/hyperlink" Target="https://www.westlaw.com/Link/Document/FullText?findType=Y&amp;serNum=1991033294&amp;pubNum=0000350&amp;originatingDoc=I9281b5f001eb11edbb58ab6acf8e61e9&amp;refType=RP&amp;fi=co_pp_sp_350_1141&amp;originationContext=document&amp;vr=3.0&amp;rs=cblt1.0&amp;transitionType=DocumentItem&amp;contextData=(sc.Default)" TargetMode="External"/><Relationship Id="rId2" Type="http://schemas.openxmlformats.org/officeDocument/2006/relationships/numbering" Target="numbering.xml"/><Relationship Id="rId29" Type="http://schemas.openxmlformats.org/officeDocument/2006/relationships/hyperlink" Target="https://www.westlaw.com/Link/Document/FullText?findType=h&amp;pubNum=176284&amp;cite=0322080001&amp;originatingDoc=I7ff3c480b51711ec99dfd0646e92f5e0&amp;refType=RQ&amp;originationContext=document&amp;vr=3.0&amp;rs=cblt1.0&amp;transitionType=DocumentItem&amp;contextData=(sc.History*oc.Default)" TargetMode="External"/><Relationship Id="rId24" Type="http://schemas.openxmlformats.org/officeDocument/2006/relationships/hyperlink" Target="https://www.westlaw.com/Link/Document/FullText?findType=Y&amp;serNum=1920007317&amp;pubNum=433&amp;originatingDoc=Ide910ccbd8d211d983e7e9deff98dc6f&amp;refType=RP&amp;fi=co_pp_sp_433_421&amp;originationContext=document&amp;vr=3.0&amp;rs=cblt1.0&amp;transitionType=DocumentItem&amp;contextData=(sc.DocLink)" TargetMode="External"/><Relationship Id="rId40" Type="http://schemas.openxmlformats.org/officeDocument/2006/relationships/hyperlink" Target="https://www.westlaw.com/Link/Document/FullText?findType=Y&amp;serNum=2034145993&amp;pubNum=0000506&amp;originatingDoc=I7ff3c480b51711ec99dfd0646e92f5e0&amp;refType=RP&amp;fi=co_pp_sp_506_1175&amp;originationContext=document&amp;vr=3.0&amp;rs=cblt1.0&amp;transitionType=DocumentItem&amp;contextData=(sc.History*oc.Default)" TargetMode="External"/><Relationship Id="rId45" Type="http://schemas.openxmlformats.org/officeDocument/2006/relationships/hyperlink" Target="https://www.westlaw.com/Link/Document/FullText?findType=Y&amp;serNum=2034145993&amp;pubNum=0000506&amp;originatingDoc=I7ff3c480b51711ec99dfd0646e92f5e0&amp;refType=RP&amp;fi=co_pp_sp_506_1175&amp;originationContext=document&amp;vr=3.0&amp;rs=cblt1.0&amp;transitionType=DocumentItem&amp;contextData=(sc.History*oc.Default)" TargetMode="External"/><Relationship Id="rId66" Type="http://schemas.openxmlformats.org/officeDocument/2006/relationships/hyperlink" Target="https://www.westlaw.com/Link/Document/FullText?findType=Y&amp;serNum=2034145993&amp;pubNum=0000506&amp;originatingDoc=I7ff3c480b51711ec99dfd0646e92f5e0&amp;refType=RP&amp;fi=co_pp_sp_506_1179&amp;originationContext=document&amp;vr=3.0&amp;rs=cblt1.0&amp;transitionType=DocumentItem&amp;contextData=(sc.History*oc.Default)" TargetMode="External"/><Relationship Id="rId87" Type="http://schemas.openxmlformats.org/officeDocument/2006/relationships/hyperlink" Target="http://www.westlaw.com/Link/Document/FullText?findType=Y&amp;serNum=1951117193&amp;pubNum=350&amp;originatingDoc=I426730e2fad411d9b386b232635db992&amp;refType=RP&amp;originationContext=document&amp;vr=3.0&amp;rs=cblt1.0&amp;transitionType=DocumentItem&amp;contextData=(sc.UserEnteredCitation)" TargetMode="External"/><Relationship Id="rId110" Type="http://schemas.openxmlformats.org/officeDocument/2006/relationships/hyperlink" Target="http://www.westlaw.com/Link/Document/FullText?findType=Y&amp;serNum=1998224836&amp;pubNum=0004041&amp;originationContext=document&amp;vr=3.0&amp;rs=cblt1.0&amp;transitionType=DocumentItem&amp;contextData=(sc.Search)" TargetMode="External"/><Relationship Id="rId115" Type="http://schemas.openxmlformats.org/officeDocument/2006/relationships/hyperlink" Target="http://www.westlaw.com/Link/Document/FullText?findType=Y&amp;serNum=2029976586&amp;pubNum=0004637&amp;fi=co_pp_sp_4637_1199&amp;originationContext=document&amp;vr=3.0&amp;rs=cblt1.0&amp;transitionType=DocumentItem&amp;contextData=(sc.Search)" TargetMode="External"/><Relationship Id="rId61" Type="http://schemas.openxmlformats.org/officeDocument/2006/relationships/hyperlink" Target="https://www.westlaw.com/Link/Document/FullText?findType=Y&amp;serNum=2055296774&amp;pubNum=0007053&amp;originatingDoc=I7ff3c480b51711ec99dfd0646e92f5e0&amp;refType=RP&amp;originationContext=document&amp;vr=3.0&amp;rs=cblt1.0&amp;transitionType=DocumentItem&amp;contextData=(sc.History*oc.Default)" TargetMode="External"/><Relationship Id="rId82" Type="http://schemas.openxmlformats.org/officeDocument/2006/relationships/hyperlink" Target="http://www.westlaw.com/Link/Document/FullText?findType=L&amp;pubNum=1000547&amp;cite=14CFRS291.1&amp;originatingDoc=I426730e2fad411d9b386b232635db992&amp;refType=LQ&amp;originationContext=document&amp;vr=3.0&amp;rs=cblt1.0&amp;transitionType=DocumentItem&amp;contextData=(sc.UserEnteredCitation)" TargetMode="External"/><Relationship Id="rId19" Type="http://schemas.openxmlformats.org/officeDocument/2006/relationships/hyperlink" Target="https://www.westlaw.com/Link/Document/FullText?findType=Y&amp;serNum=1878018549&amp;pubNum=596&amp;originatingDoc=Ide910ccbd8d211d983e7e9deff98dc6f&amp;refType=RP&amp;fi=co_pp_sp_596_334&amp;originationContext=document&amp;vr=3.0&amp;rs=cblt1.0&amp;transitionType=DocumentItem&amp;contextData=(sc.DocLink)" TargetMode="External"/><Relationship Id="rId14" Type="http://schemas.openxmlformats.org/officeDocument/2006/relationships/hyperlink" Target="https://www.westlaw.com/Link/Document/FullText?findType=Y&amp;serNum=1902100414&amp;pubNum=708&amp;originatingDoc=Ide910ccbd8d211d983e7e9deff98dc6f&amp;refType=RP&amp;fi=co_pp_sp_708_245&amp;originationContext=document&amp;vr=3.0&amp;rs=cblt1.0&amp;transitionType=DocumentItem&amp;contextData=(sc.DocLink)" TargetMode="External"/><Relationship Id="rId30" Type="http://schemas.openxmlformats.org/officeDocument/2006/relationships/hyperlink" Target="https://www.westlaw.com/Link/Document/FullText?findType=Y&amp;serNum=2034145993&amp;pubNum=0000506&amp;originatingDoc=I7ff3c480b51711ec99dfd0646e92f5e0&amp;refType=RP&amp;originationContext=document&amp;vr=3.0&amp;rs=cblt1.0&amp;transitionType=DocumentItem&amp;contextData=(sc.History*oc.Default)" TargetMode="External"/><Relationship Id="rId35" Type="http://schemas.openxmlformats.org/officeDocument/2006/relationships/hyperlink" Target="https://www.westlaw.com/Link/Document/FullText?findType=Y&amp;serNum=2004317023&amp;pubNum=0000506&amp;originatingDoc=I7ff3c480b51711ec99dfd0646e92f5e0&amp;refType=RP&amp;fi=co_pp_sp_506_1012&amp;originationContext=document&amp;vr=3.0&amp;rs=cblt1.0&amp;transitionType=DocumentItem&amp;contextData=(sc.History*oc.Default)" TargetMode="External"/><Relationship Id="rId56" Type="http://schemas.openxmlformats.org/officeDocument/2006/relationships/hyperlink" Target="https://www.westlaw.com/Link/Document/FullText?findType=Y&amp;serNum=2055296774&amp;pubNum=0007047&amp;originatingDoc=I7ff3c480b51711ec99dfd0646e92f5e0&amp;refType=RP&amp;fi=co_pp_sp_7047_16&amp;originationContext=document&amp;vr=3.0&amp;rs=cblt1.0&amp;transitionType=DocumentItem&amp;contextData=(sc.History*oc.Default)" TargetMode="External"/><Relationship Id="rId77" Type="http://schemas.openxmlformats.org/officeDocument/2006/relationships/hyperlink" Target="https://www.westlaw.com/Link/Document/Blob/I309ac2f0b55111eca5a0ed9c97d9f5ab.png?originationContext=document&amp;vr=3.0&amp;rs=cblt1.0&amp;transitionType=DocumentImage&amp;contextData=(sc.History*oc.Default)" TargetMode="External"/><Relationship Id="rId100" Type="http://schemas.openxmlformats.org/officeDocument/2006/relationships/hyperlink" Target="https://www.westlaw.com/Link/Document/FullText?findType=Y&amp;serNum=2055884132&amp;pubNum=0008173&amp;originatingDoc=I9281b5f001eb11edbb58ab6acf8e61e9&amp;refType=RP&amp;fi=co_pp_sp_8173_856&amp;originationContext=document&amp;vr=3.0&amp;rs=cblt1.0&amp;transitionType=DocumentItem&amp;contextData=(sc.Default)" TargetMode="External"/><Relationship Id="rId105" Type="http://schemas.openxmlformats.org/officeDocument/2006/relationships/hyperlink" Target="http://www.westlaw.com/Link/Document/FullText?findType=Y&amp;serNum=1992069400&amp;pubNum=0004040&amp;fi=co_pp_sp_4040_371&amp;originationContext=document&amp;vr=3.0&amp;rs=cblt1.0&amp;transitionType=DocumentItem&amp;contextData=(sc.Search)" TargetMode="External"/><Relationship Id="rId8" Type="http://schemas.openxmlformats.org/officeDocument/2006/relationships/hyperlink" Target="https://www.westlaw.com/Link/Document/FullText?findType=Y&amp;serNum=0289507061&amp;pubNum=0156089&amp;originatingDoc=Ide910ccbd8d211d983e7e9deff98dc6f&amp;refType=TS&amp;originationContext=document&amp;vr=3.0&amp;rs=cblt1.0&amp;transitionType=DocumentItem&amp;contextData=(sc.DocLink)" TargetMode="External"/><Relationship Id="rId51" Type="http://schemas.openxmlformats.org/officeDocument/2006/relationships/hyperlink" Target="https://www.westlaw.com/Link/Document/FullText?findType=Y&amp;serNum=2034145993&amp;pubNum=0000506&amp;originatingDoc=I7ff3c480b51711ec99dfd0646e92f5e0&amp;refType=RP&amp;fi=co_pp_sp_506_1173&amp;originationContext=document&amp;vr=3.0&amp;rs=cblt1.0&amp;transitionType=DocumentItem&amp;contextData=(sc.History*oc.Default)" TargetMode="External"/><Relationship Id="rId72" Type="http://schemas.openxmlformats.org/officeDocument/2006/relationships/image" Target="media/image1.png"/><Relationship Id="rId93" Type="http://schemas.openxmlformats.org/officeDocument/2006/relationships/hyperlink" Target="https://www.westlaw.com/Link/Document/FullText?findType=Y&amp;serNum=2032992112&amp;pubNum=0000506&amp;originatingDoc=I9281b5f001eb11edbb58ab6acf8e61e9&amp;refType=RP&amp;fi=co_pp_sp_506_742&amp;originationContext=document&amp;vr=3.0&amp;rs=cblt1.0&amp;transitionType=DocumentItem&amp;contextData=(sc.Default)" TargetMode="External"/><Relationship Id="rId98" Type="http://schemas.openxmlformats.org/officeDocument/2006/relationships/hyperlink" Target="https://www.westlaw.com/Link/Document/FullText?findType=Y&amp;serNum=2055884132&amp;pubNum=0008173&amp;originatingDoc=I9281b5f001eb11edbb58ab6acf8e61e9&amp;refType=RP&amp;fi=co_pp_sp_8173_856&amp;originationContext=document&amp;vr=3.0&amp;rs=cblt1.0&amp;transitionType=DocumentItem&amp;contextData=(sc.Default)" TargetMode="External"/><Relationship Id="rId121" Type="http://schemas.openxmlformats.org/officeDocument/2006/relationships/hyperlink" Target="http://www.westlaw.com/Link/Document/FullText?findType=Y&amp;serNum=0299287197&amp;pubNum=0164298&amp;originationContext=document&amp;vr=3.0&amp;rs=cblt1.0&amp;transitionType=DocumentItem&amp;contextData=(sc.Search)" TargetMode="External"/><Relationship Id="rId3" Type="http://schemas.openxmlformats.org/officeDocument/2006/relationships/styles" Target="styles.xml"/><Relationship Id="rId25" Type="http://schemas.openxmlformats.org/officeDocument/2006/relationships/hyperlink" Target="https://www.westlaw.com/Link/Document/FullText?findType=Y&amp;serNum=1930101100&amp;pubNum=577&amp;originatingDoc=Ide910ccbd8d211d983e7e9deff98dc6f&amp;refType=RP&amp;originationContext=document&amp;vr=3.0&amp;rs=cblt1.0&amp;transitionType=DocumentItem&amp;contextData=(sc.DocLink)" TargetMode="External"/><Relationship Id="rId46" Type="http://schemas.openxmlformats.org/officeDocument/2006/relationships/hyperlink" Target="https://www.westlaw.com/Link/Document/FullText?findType=Y&amp;serNum=0289906877&amp;pubNum=0101603&amp;originatingDoc=I7ff3c480b51711ec99dfd0646e92f5e0&amp;refType=TS&amp;originationContext=document&amp;vr=3.0&amp;rs=cblt1.0&amp;transitionType=DocumentItem&amp;contextData=(sc.History*oc.Default)" TargetMode="External"/><Relationship Id="rId67" Type="http://schemas.openxmlformats.org/officeDocument/2006/relationships/hyperlink" Target="https://www.westlaw.com/Link/Document/FullText?findType=Y&amp;serNum=2042371594&amp;pubNum=0000506&amp;originatingDoc=I7ff3c480b51711ec99dfd0646e92f5e0&amp;refType=RP&amp;fi=co_pp_sp_506_78&amp;originationContext=document&amp;vr=3.0&amp;rs=cblt1.0&amp;transitionType=DocumentItem&amp;contextData=(sc.History*oc.Default)" TargetMode="External"/><Relationship Id="rId116" Type="http://schemas.openxmlformats.org/officeDocument/2006/relationships/hyperlink" Target="http://www.westlaw.com/Link/Document/FullText?findType=Y&amp;serNum=2018306661&amp;pubNum=0004041&amp;fi=co_pp_sp_4041_1352&amp;originationContext=document&amp;vr=3.0&amp;rs=cblt1.0&amp;transitionType=DocumentItem&amp;contextData=(sc.Search)" TargetMode="External"/><Relationship Id="rId20" Type="http://schemas.openxmlformats.org/officeDocument/2006/relationships/hyperlink" Target="https://www.westlaw.com/Link/Document/FullText?findType=Y&amp;serNum=1912006849&amp;pubNum=601&amp;originatingDoc=Ide910ccbd8d211d983e7e9deff98dc6f&amp;refType=RP&amp;fi=co_pp_sp_601_289&amp;originationContext=document&amp;vr=3.0&amp;rs=cblt1.0&amp;transitionType=DocumentItem&amp;contextData=(sc.DocLink)" TargetMode="External"/><Relationship Id="rId41" Type="http://schemas.openxmlformats.org/officeDocument/2006/relationships/hyperlink" Target="https://www.westlaw.com/Link/Document/FullText?findType=Y&amp;serNum=2034145993&amp;pubNum=0000506&amp;originatingDoc=I7ff3c480b51711ec99dfd0646e92f5e0&amp;refType=RP&amp;originationContext=document&amp;vr=3.0&amp;rs=cblt1.0&amp;transitionType=DocumentItem&amp;contextData=(sc.History*oc.Default)" TargetMode="External"/><Relationship Id="rId62" Type="http://schemas.openxmlformats.org/officeDocument/2006/relationships/hyperlink" Target="https://www.westlaw.com/Link/Document/FullText?findType=Y&amp;serNum=2034145993&amp;pubNum=0000506&amp;originatingDoc=I7ff3c480b51711ec99dfd0646e92f5e0&amp;refType=RP&amp;fi=co_pp_sp_506_1179&amp;originationContext=document&amp;vr=3.0&amp;rs=cblt1.0&amp;transitionType=DocumentItem&amp;contextData=(sc.History*oc.Default)" TargetMode="External"/><Relationship Id="rId83" Type="http://schemas.openxmlformats.org/officeDocument/2006/relationships/hyperlink" Target="http://www.westlaw.com/Link/Document/FullText?findType=L&amp;pubNum=1000547&amp;cite=14CFRS298.3&amp;originatingDoc=I426730e2fad411d9b386b232635db992&amp;refType=LQ&amp;originationContext=document&amp;vr=3.0&amp;rs=cblt1.0&amp;transitionType=DocumentItem&amp;contextData=(sc.UserEnteredCitation)" TargetMode="External"/><Relationship Id="rId88" Type="http://schemas.openxmlformats.org/officeDocument/2006/relationships/hyperlink" Target="http://www.westlaw.com/Link/Document/FullText?findType=Y&amp;serNum=1958108809&amp;pubNum=345&amp;originatingDoc=I426730e2fad411d9b386b232635db992&amp;refType=RP&amp;originationContext=document&amp;vr=3.0&amp;rs=cblt1.0&amp;transitionType=DocumentItem&amp;contextData=(sc.UserEnteredCitation)" TargetMode="External"/><Relationship Id="rId111" Type="http://schemas.openxmlformats.org/officeDocument/2006/relationships/hyperlink" Target="http://www.westlaw.com/Link/Document/FullText?findType=Y&amp;serNum=1998224836&amp;pubNum=0004041&amp;fi=co_pp_sp_4041_783&amp;originationContext=document&amp;vr=3.0&amp;rs=cblt1.0&amp;transitionType=DocumentItem&amp;contextData=(sc.Search)" TargetMode="External"/><Relationship Id="rId15" Type="http://schemas.openxmlformats.org/officeDocument/2006/relationships/hyperlink" Target="https://www.westlaw.com/Link/Document/FullText?findType=Y&amp;serNum=1926130115&amp;pubNum=601&amp;originatingDoc=Ide910ccbd8d211d983e7e9deff98dc6f&amp;refType=RP&amp;originationContext=document&amp;vr=3.0&amp;rs=cblt1.0&amp;transitionType=DocumentItem&amp;contextData=(sc.DocLink)" TargetMode="External"/><Relationship Id="rId36" Type="http://schemas.openxmlformats.org/officeDocument/2006/relationships/hyperlink" Target="https://www.westlaw.com/Link/Document/FullText?findType=Y&amp;serNum=1995112780&amp;pubNum=0000780&amp;originatingDoc=I7ff3c480b51711ec99dfd0646e92f5e0&amp;refType=RP&amp;fi=co_pp_sp_780_944&amp;originationContext=document&amp;vr=3.0&amp;rs=cblt1.0&amp;transitionType=DocumentItem&amp;contextData=(sc.History*oc.Default)" TargetMode="External"/><Relationship Id="rId57" Type="http://schemas.openxmlformats.org/officeDocument/2006/relationships/hyperlink" Target="https://www.westlaw.com/Link/Document/FullText?findType=Y&amp;serNum=2034145993&amp;pubNum=0000506&amp;originatingDoc=I7ff3c480b51711ec99dfd0646e92f5e0&amp;refType=RP&amp;fi=co_pp_sp_506_1179&amp;originationContext=document&amp;vr=3.0&amp;rs=cblt1.0&amp;transitionType=DocumentItem&amp;contextData=(sc.History*oc.Default)" TargetMode="External"/><Relationship Id="rId106" Type="http://schemas.openxmlformats.org/officeDocument/2006/relationships/hyperlink" Target="http://www.westlaw.com/Link/Document/FullText?findType=Y&amp;serNum=1992069400&amp;pubNum=0004040&amp;fi=co_pp_sp_4040_372&amp;originationContext=document&amp;vr=3.0&amp;rs=cblt1.0&amp;transitionType=DocumentItem&amp;contextData=(sc.Search)" TargetMode="External"/><Relationship Id="rId10" Type="http://schemas.openxmlformats.org/officeDocument/2006/relationships/hyperlink" Target="https://www.westlaw.com/Link/Document/FullText?findType=Y&amp;serNum=1923101935&amp;pubNum=561&amp;originatingDoc=Ide910ccbd8d211d983e7e9deff98dc6f&amp;refType=RP&amp;originationContext=document&amp;vr=3.0&amp;rs=cblt1.0&amp;transitionType=DocumentItem&amp;contextData=(sc.DocLink)" TargetMode="External"/><Relationship Id="rId31" Type="http://schemas.openxmlformats.org/officeDocument/2006/relationships/hyperlink" Target="https://www.westlaw.com/Link/Document/FullText?findType=L&amp;pubNum=1000546&amp;cite=47USCAS227&amp;originatingDoc=I7ff3c480b51711ec99dfd0646e92f5e0&amp;refType=LQ&amp;originationContext=document&amp;vr=3.0&amp;rs=cblt1.0&amp;transitionType=DocumentItem&amp;contextData=(sc.History*oc.Default)" TargetMode="External"/><Relationship Id="rId52" Type="http://schemas.openxmlformats.org/officeDocument/2006/relationships/hyperlink" Target="https://www.westlaw.com/Link/Document/FullText?findType=Y&amp;serNum=2002617195&amp;pubNum=0000506&amp;originatingDoc=I7ff3c480b51711ec99dfd0646e92f5e0&amp;refType=RP&amp;fi=co_pp_sp_506_35&amp;originationContext=document&amp;vr=3.0&amp;rs=cblt1.0&amp;transitionType=DocumentItem&amp;contextData=(sc.History*oc.Default)" TargetMode="External"/><Relationship Id="rId73" Type="http://schemas.openxmlformats.org/officeDocument/2006/relationships/hyperlink" Target="https://www.westlaw.com/Link/Document/Blob/I309bfb70b55111eca5a0ed9c97d9f5ab.png?originationContext=document&amp;vr=3.0&amp;rs=cblt1.0&amp;transitionType=DocumentImage&amp;contextData=(sc.History*oc.Default)" TargetMode="External"/><Relationship Id="rId78" Type="http://schemas.openxmlformats.org/officeDocument/2006/relationships/image" Target="media/image3.png"/><Relationship Id="rId94" Type="http://schemas.openxmlformats.org/officeDocument/2006/relationships/hyperlink" Target="https://www.westlaw.com/Link/Document/FullText?findType=Y&amp;serNum=2034145993&amp;pubNum=0000506&amp;originatingDoc=I9281b5f001eb11edbb58ab6acf8e61e9&amp;refType=RP&amp;fi=co_pp_sp_506_1175&amp;originationContext=document&amp;vr=3.0&amp;rs=cblt1.0&amp;transitionType=DocumentItem&amp;contextData=(sc.Default)" TargetMode="External"/><Relationship Id="rId99" Type="http://schemas.openxmlformats.org/officeDocument/2006/relationships/hyperlink" Target="https://www.westlaw.com/Link/Document/FullText?findType=Y&amp;serNum=2040794803&amp;pubNum=0000506&amp;originatingDoc=I9281b5f001eb11edbb58ab6acf8e61e9&amp;refType=RP&amp;fi=co_pp_sp_506_1283&amp;originationContext=document&amp;vr=3.0&amp;rs=cblt1.0&amp;transitionType=DocumentItem&amp;contextData=(sc.Default)" TargetMode="External"/><Relationship Id="rId101" Type="http://schemas.openxmlformats.org/officeDocument/2006/relationships/hyperlink" Target="https://www.westlaw.com/Link/Document/FullText?findType=Y&amp;serNum=2055884132&amp;pubNum=0008173&amp;originatingDoc=I9281b5f001eb11edbb58ab6acf8e61e9&amp;refType=RP&amp;fi=co_pp_sp_8173_857&amp;originationContext=document&amp;vr=3.0&amp;rs=cblt1.0&amp;transitionType=DocumentItem&amp;contextData=(sc.Default)" TargetMode="External"/><Relationship Id="rId1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estlaw.com/Link/Document/FullText?findType=Y&amp;serNum=2050420289&amp;pubNum=0007903&amp;originatingDoc=I53e1dbf0fc9c11ea8795a045e29a2a7b&amp;refType=RP&amp;originationContext=document&amp;vr=3.0&amp;rs=cblt1.0&amp;transitionType=DocumentItem&amp;contextData=(sc.Default)" TargetMode="External"/><Relationship Id="rId2" Type="http://schemas.openxmlformats.org/officeDocument/2006/relationships/hyperlink" Target="https://www.westlaw.com/Link/Document/FullText?findType=Y&amp;serNum=2050420289&amp;pubNum=0007903&amp;originatingDoc=I53e1dbf0fc9c11ea8795a045e29a2a7b&amp;refType=RP&amp;fi=co_pp_sp_7903_484&amp;originationContext=document&amp;vr=3.0&amp;rs=cblt1.0&amp;transitionType=DocumentItem&amp;contextData=(sc.Default)" TargetMode="External"/><Relationship Id="rId1" Type="http://schemas.openxmlformats.org/officeDocument/2006/relationships/hyperlink" Target="https://www.westlaw.com/Link/Document/FullText?findType=Y&amp;serNum=2050420289&amp;pubNum=0007903&amp;originatingDoc=I53e1dbf0fc9c11ea8795a045e29a2a7b&amp;refType=RP&amp;originationContext=document&amp;vr=3.0&amp;rs=cblt1.0&amp;transitionType=DocumentItem&amp;contextData=(sc.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9D803-547C-4B9D-AB75-1DD8357C5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35317</Words>
  <Characters>201310</Characters>
  <Application>Microsoft Office Word</Application>
  <DocSecurity>0</DocSecurity>
  <Lines>1677</Lines>
  <Paragraphs>472</Paragraphs>
  <ScaleCrop>false</ScaleCrop>
  <HeadingPairs>
    <vt:vector size="2" baseType="variant">
      <vt:variant>
        <vt:lpstr>Title</vt:lpstr>
      </vt:variant>
      <vt:variant>
        <vt:i4>1</vt:i4>
      </vt:variant>
    </vt:vector>
  </HeadingPairs>
  <TitlesOfParts>
    <vt:vector size="1" baseType="lpstr">
      <vt:lpstr>United States Court of Appeals,</vt:lpstr>
    </vt:vector>
  </TitlesOfParts>
  <Company/>
  <LinksUpToDate>false</LinksUpToDate>
  <CharactersWithSpaces>236155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States Court of Appeals,</dc:title>
  <dc:subject/>
  <dc:creator>9.2.1.1.V2</dc:creator>
  <cp:keywords/>
  <dc:description/>
  <cp:lastModifiedBy>richard warner richardwarner</cp:lastModifiedBy>
  <cp:revision>7</cp:revision>
  <dcterms:created xsi:type="dcterms:W3CDTF">2024-12-24T20:34:00Z</dcterms:created>
  <dcterms:modified xsi:type="dcterms:W3CDTF">2024-12-25T17:51:00Z</dcterms:modified>
</cp:coreProperties>
</file>